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pPr>
      <w:r>
        <w:rPr>
          <w:rFonts w:ascii="Calibri" w:hAnsi="Calibri"/>
          <w:b/>
          <w:color w:val="D9A84F"/>
          <w:sz w:val="28"/>
        </w:rPr>
        <w:t>EnerTchad Groupe</w:t>
      </w:r>
    </w:p>
    <w:p>
      <w:pPr>
        <w:spacing w:before="320" w:after="240" w:line="276" w:lineRule="auto"/>
      </w:pPr>
      <w:r>
        <w:rPr>
          <w:rFonts w:ascii="Calibri" w:hAnsi="Calibri"/>
          <w:b/>
          <w:color w:val="080E1A"/>
          <w:sz w:val="56"/>
        </w:rPr>
        <w:t>Note Technique — Optimisation des champs pétroliers mâtures</w:t>
      </w:r>
    </w:p>
    <w:p>
      <w:pPr>
        <w:spacing w:after="120"/>
      </w:pPr>
      <w:r>
        <w:rPr>
          <w:rFonts w:ascii="Calibri" w:hAnsi="Calibri"/>
          <w:i/>
          <w:color w:val="2E86DE"/>
          <w:sz w:val="28"/>
        </w:rPr>
        <w:t>Peroxyde d’hydrogène (H₂O₂) et technologies de récupération avancée</w:t>
      </w:r>
    </w:p>
    <w:p>
      <w:r>
        <w:rPr>
          <w:rFonts w:ascii="Calibri" w:hAnsi="Calibri"/>
          <w:i/>
          <w:color w:val="5A6477"/>
          <w:sz w:val="24"/>
        </w:rPr>
        <w:t>Application aux bassins Doba, Bongor, Doseo, Salamat et Termit</w:t>
      </w:r>
    </w:p>
    <w:p>
      <w:pPr>
        <w:pBdr>
          <w:bottom w:val="single" w:sz="8" w:space="1" w:color="D9A84F"/>
        </w:pBdr>
      </w:pPr>
    </w:p>
    <w:p>
      <w:pPr>
        <w:spacing w:before="200"/>
      </w:pPr>
    </w:p>
    <w:p>
      <w:pPr>
        <w:spacing w:after="40"/>
      </w:pPr>
      <w:r>
        <w:rPr>
          <w:rFonts w:ascii="Calibri" w:hAnsi="Calibri"/>
          <w:b/>
          <w:color w:val="080E1A"/>
          <w:sz w:val="21"/>
        </w:rPr>
        <w:t xml:space="preserve">Direction responsable : </w:t>
      </w:r>
      <w:r>
        <w:rPr>
          <w:rFonts w:ascii="Calibri" w:hAnsi="Calibri"/>
          <w:color w:val="1A1E2A"/>
          <w:sz w:val="21"/>
        </w:rPr>
        <w:t>EnerTchad Amont — Reservoir &amp; Well Engineering</w:t>
      </w:r>
    </w:p>
    <w:p>
      <w:pPr>
        <w:spacing w:after="40"/>
      </w:pPr>
      <w:r>
        <w:rPr>
          <w:rFonts w:ascii="Calibri" w:hAnsi="Calibri"/>
          <w:b/>
          <w:color w:val="080E1A"/>
          <w:sz w:val="21"/>
        </w:rPr>
        <w:t xml:space="preserve">Sponsor exécutif : </w:t>
      </w:r>
      <w:r>
        <w:rPr>
          <w:rFonts w:ascii="Calibri" w:hAnsi="Calibri"/>
          <w:color w:val="1A1E2A"/>
          <w:sz w:val="21"/>
        </w:rPr>
        <w:t>CEO EnerTchad Groupe</w:t>
      </w:r>
    </w:p>
    <w:p>
      <w:pPr>
        <w:spacing w:after="40"/>
      </w:pPr>
      <w:r>
        <w:rPr>
          <w:rFonts w:ascii="Calibri" w:hAnsi="Calibri"/>
          <w:b/>
          <w:color w:val="080E1A"/>
          <w:sz w:val="21"/>
        </w:rPr>
        <w:t xml:space="preserve">Référence document : </w:t>
      </w:r>
      <w:r>
        <w:rPr>
          <w:rFonts w:ascii="Calibri" w:hAnsi="Calibri"/>
          <w:color w:val="1A1E2A"/>
          <w:sz w:val="21"/>
        </w:rPr>
        <w:t>ETG-NT-AMONT-2026-004</w:t>
      </w:r>
    </w:p>
    <w:p>
      <w:pPr>
        <w:spacing w:after="40"/>
      </w:pPr>
      <w:r>
        <w:rPr>
          <w:rFonts w:ascii="Calibri" w:hAnsi="Calibri"/>
          <w:b/>
          <w:color w:val="080E1A"/>
          <w:sz w:val="21"/>
        </w:rPr>
        <w:t xml:space="preserve">Classification : </w:t>
      </w:r>
      <w:r>
        <w:rPr>
          <w:rFonts w:ascii="Calibri" w:hAnsi="Calibri"/>
          <w:color w:val="1A1E2A"/>
          <w:sz w:val="21"/>
        </w:rPr>
        <w:t>Confidentiel — Usage Interne</w:t>
      </w:r>
    </w:p>
    <w:p>
      <w:pPr>
        <w:spacing w:after="40"/>
      </w:pPr>
      <w:r>
        <w:rPr>
          <w:rFonts w:ascii="Calibri" w:hAnsi="Calibri"/>
          <w:b/>
          <w:color w:val="080E1A"/>
          <w:sz w:val="21"/>
        </w:rPr>
        <w:t xml:space="preserve">Date d’émission : </w:t>
      </w:r>
      <w:r>
        <w:rPr>
          <w:rFonts w:ascii="Calibri" w:hAnsi="Calibri"/>
          <w:color w:val="1A1E2A"/>
          <w:sz w:val="21"/>
        </w:rPr>
        <w:t>20 avril 2026</w:t>
      </w:r>
    </w:p>
    <w:p>
      <w:pPr>
        <w:spacing w:after="40"/>
      </w:pPr>
      <w:r>
        <w:rPr>
          <w:rFonts w:ascii="Calibri" w:hAnsi="Calibri"/>
          <w:b/>
          <w:color w:val="080E1A"/>
          <w:sz w:val="21"/>
        </w:rPr>
        <w:t xml:space="preserve">Pages : </w:t>
      </w:r>
      <w:r>
        <w:rPr>
          <w:rFonts w:ascii="Calibri" w:hAnsi="Calibri"/>
          <w:color w:val="1A1E2A"/>
          <w:sz w:val="21"/>
        </w:rPr>
        <w:t>18</w:t>
      </w:r>
    </w:p>
    <w:p>
      <w:r>
        <w:br w:type="page"/>
      </w:r>
    </w:p>
    <w:p>
      <w:pPr>
        <w:keepNext/>
        <w:spacing w:before="360" w:after="160"/>
        <w:pBdr>
          <w:bottom w:val="single" w:sz="12" w:space="4" w:color="D9A84F"/>
        </w:pBdr>
      </w:pPr>
      <w:r>
        <w:rPr>
          <w:rFonts w:ascii="Calibri" w:hAnsi="Calibri"/>
          <w:b/>
          <w:color w:val="080E1A"/>
          <w:sz w:val="36"/>
        </w:rPr>
        <w:t>Sommaire</w:t>
      </w:r>
    </w:p>
    <w:p>
      <w:pPr>
        <w:tabs>
          <w:tab w:pos="8957" w:val="right" w:leader="dot"/>
        </w:tabs>
        <w:spacing w:after="60"/>
      </w:pPr>
      <w:r>
        <w:rPr>
          <w:rFonts w:ascii="Calibri" w:hAnsi="Calibri"/>
          <w:b/>
          <w:color w:val="D9A84F"/>
          <w:sz w:val="22"/>
        </w:rPr>
        <w:t xml:space="preserve">1.   </w:t>
      </w:r>
      <w:r>
        <w:rPr>
          <w:rFonts w:ascii="Calibri" w:hAnsi="Calibri"/>
          <w:color w:val="080E1A"/>
          <w:sz w:val="22"/>
        </w:rPr>
        <w:t>Résumé exécutif</w:t>
      </w:r>
      <w:r>
        <w:rPr>
          <w:rFonts w:ascii="Calibri" w:hAnsi="Calibri"/>
          <w:color w:val="5A6477"/>
          <w:sz w:val="22"/>
        </w:rPr>
        <w:tab/>
        <w:t>3</w:t>
      </w:r>
    </w:p>
    <w:p>
      <w:pPr>
        <w:tabs>
          <w:tab w:pos="8957" w:val="right" w:leader="dot"/>
        </w:tabs>
        <w:spacing w:after="60"/>
      </w:pPr>
      <w:r>
        <w:rPr>
          <w:rFonts w:ascii="Calibri" w:hAnsi="Calibri"/>
          <w:b/>
          <w:color w:val="D9A84F"/>
          <w:sz w:val="22"/>
        </w:rPr>
        <w:t xml:space="preserve">2.   </w:t>
      </w:r>
      <w:r>
        <w:rPr>
          <w:rFonts w:ascii="Calibri" w:hAnsi="Calibri"/>
          <w:color w:val="080E1A"/>
          <w:sz w:val="22"/>
        </w:rPr>
        <w:t>Contexte : déclin naturel et potentiel résiduel</w:t>
      </w:r>
      <w:r>
        <w:rPr>
          <w:rFonts w:ascii="Calibri" w:hAnsi="Calibri"/>
          <w:color w:val="5A6477"/>
          <w:sz w:val="22"/>
        </w:rPr>
        <w:tab/>
        <w:t>4</w:t>
      </w:r>
    </w:p>
    <w:p>
      <w:pPr>
        <w:tabs>
          <w:tab w:pos="8957" w:val="right" w:leader="dot"/>
        </w:tabs>
        <w:spacing w:after="60"/>
      </w:pPr>
      <w:r>
        <w:rPr>
          <w:rFonts w:ascii="Calibri" w:hAnsi="Calibri"/>
          <w:b/>
          <w:color w:val="D9A84F"/>
          <w:sz w:val="22"/>
        </w:rPr>
        <w:t xml:space="preserve">3.   </w:t>
      </w:r>
      <w:r>
        <w:rPr>
          <w:rFonts w:ascii="Calibri" w:hAnsi="Calibri"/>
          <w:color w:val="080E1A"/>
          <w:sz w:val="22"/>
        </w:rPr>
        <w:t>Catalogue des leviers d’optimisation (IOR / EOR)</w:t>
      </w:r>
      <w:r>
        <w:rPr>
          <w:rFonts w:ascii="Calibri" w:hAnsi="Calibri"/>
          <w:color w:val="5A6477"/>
          <w:sz w:val="22"/>
        </w:rPr>
        <w:tab/>
        <w:t>5</w:t>
      </w:r>
    </w:p>
    <w:p>
      <w:pPr>
        <w:tabs>
          <w:tab w:pos="8957" w:val="right" w:leader="dot"/>
        </w:tabs>
        <w:spacing w:after="60"/>
      </w:pPr>
      <w:r>
        <w:rPr>
          <w:rFonts w:ascii="Calibri" w:hAnsi="Calibri"/>
          <w:b/>
          <w:color w:val="D9A84F"/>
          <w:sz w:val="22"/>
        </w:rPr>
        <w:t xml:space="preserve">4.   </w:t>
      </w:r>
      <w:r>
        <w:rPr>
          <w:rFonts w:ascii="Calibri" w:hAnsi="Calibri"/>
          <w:color w:val="080E1A"/>
          <w:sz w:val="22"/>
        </w:rPr>
        <w:t>Focus — Peroxyde d’hydrogène (H₂O₂) en stimulation de puits</w:t>
      </w:r>
      <w:r>
        <w:rPr>
          <w:rFonts w:ascii="Calibri" w:hAnsi="Calibri"/>
          <w:color w:val="5A6477"/>
          <w:sz w:val="22"/>
        </w:rPr>
        <w:tab/>
        <w:t>8</w:t>
      </w:r>
    </w:p>
    <w:p>
      <w:pPr>
        <w:tabs>
          <w:tab w:pos="8957" w:val="right" w:leader="dot"/>
        </w:tabs>
        <w:spacing w:after="60"/>
      </w:pPr>
      <w:r>
        <w:rPr>
          <w:rFonts w:ascii="Calibri" w:hAnsi="Calibri"/>
          <w:b/>
          <w:color w:val="D9A84F"/>
          <w:sz w:val="22"/>
        </w:rPr>
        <w:t xml:space="preserve">5.   </w:t>
      </w:r>
      <w:r>
        <w:rPr>
          <w:rFonts w:ascii="Calibri" w:hAnsi="Calibri"/>
          <w:color w:val="080E1A"/>
          <w:sz w:val="22"/>
        </w:rPr>
        <w:t>Technologies digitales : digital twin, IA, intelligent completions</w:t>
      </w:r>
      <w:r>
        <w:rPr>
          <w:rFonts w:ascii="Calibri" w:hAnsi="Calibri"/>
          <w:color w:val="5A6477"/>
          <w:sz w:val="22"/>
        </w:rPr>
        <w:tab/>
        <w:t>11</w:t>
      </w:r>
    </w:p>
    <w:p>
      <w:pPr>
        <w:tabs>
          <w:tab w:pos="8957" w:val="right" w:leader="dot"/>
        </w:tabs>
        <w:spacing w:after="60"/>
      </w:pPr>
      <w:r>
        <w:rPr>
          <w:rFonts w:ascii="Calibri" w:hAnsi="Calibri"/>
          <w:b/>
          <w:color w:val="D9A84F"/>
          <w:sz w:val="22"/>
        </w:rPr>
        <w:t xml:space="preserve">6.   </w:t>
      </w:r>
      <w:r>
        <w:rPr>
          <w:rFonts w:ascii="Calibri" w:hAnsi="Calibri"/>
          <w:color w:val="080E1A"/>
          <w:sz w:val="22"/>
        </w:rPr>
        <w:t>Benchmark — majors et opérateurs référents</w:t>
      </w:r>
      <w:r>
        <w:rPr>
          <w:rFonts w:ascii="Calibri" w:hAnsi="Calibri"/>
          <w:color w:val="5A6477"/>
          <w:sz w:val="22"/>
        </w:rPr>
        <w:tab/>
        <w:t>13</w:t>
      </w:r>
    </w:p>
    <w:p>
      <w:pPr>
        <w:tabs>
          <w:tab w:pos="8957" w:val="right" w:leader="dot"/>
        </w:tabs>
        <w:spacing w:after="60"/>
      </w:pPr>
      <w:r>
        <w:rPr>
          <w:rFonts w:ascii="Calibri" w:hAnsi="Calibri"/>
          <w:b/>
          <w:color w:val="D9A84F"/>
          <w:sz w:val="22"/>
        </w:rPr>
        <w:t xml:space="preserve">7.   </w:t>
      </w:r>
      <w:r>
        <w:rPr>
          <w:rFonts w:ascii="Calibri" w:hAnsi="Calibri"/>
          <w:color w:val="080E1A"/>
          <w:sz w:val="22"/>
        </w:rPr>
        <w:t>Applicabilité aux bassins EnerTchad</w:t>
      </w:r>
      <w:r>
        <w:rPr>
          <w:rFonts w:ascii="Calibri" w:hAnsi="Calibri"/>
          <w:color w:val="5A6477"/>
          <w:sz w:val="22"/>
        </w:rPr>
        <w:tab/>
        <w:t>14</w:t>
      </w:r>
    </w:p>
    <w:p>
      <w:pPr>
        <w:tabs>
          <w:tab w:pos="8957" w:val="right" w:leader="dot"/>
        </w:tabs>
        <w:spacing w:after="60"/>
      </w:pPr>
      <w:r>
        <w:rPr>
          <w:rFonts w:ascii="Calibri" w:hAnsi="Calibri"/>
          <w:b/>
          <w:color w:val="D9A84F"/>
          <w:sz w:val="22"/>
        </w:rPr>
        <w:t xml:space="preserve">8.   </w:t>
      </w:r>
      <w:r>
        <w:rPr>
          <w:rFonts w:ascii="Calibri" w:hAnsi="Calibri"/>
          <w:color w:val="080E1A"/>
          <w:sz w:val="22"/>
        </w:rPr>
        <w:t>Roadmap 2026-2030 &amp; économie</w:t>
      </w:r>
      <w:r>
        <w:rPr>
          <w:rFonts w:ascii="Calibri" w:hAnsi="Calibri"/>
          <w:color w:val="5A6477"/>
          <w:sz w:val="22"/>
        </w:rPr>
        <w:tab/>
        <w:t>16</w:t>
      </w:r>
    </w:p>
    <w:p>
      <w:pPr>
        <w:tabs>
          <w:tab w:pos="8957" w:val="right" w:leader="dot"/>
        </w:tabs>
        <w:spacing w:after="60"/>
      </w:pPr>
      <w:r>
        <w:rPr>
          <w:rFonts w:ascii="Calibri" w:hAnsi="Calibri"/>
          <w:b/>
          <w:color w:val="D9A84F"/>
          <w:sz w:val="22"/>
        </w:rPr>
        <w:t xml:space="preserve">9.   </w:t>
      </w:r>
      <w:r>
        <w:rPr>
          <w:rFonts w:ascii="Calibri" w:hAnsi="Calibri"/>
          <w:color w:val="080E1A"/>
          <w:sz w:val="22"/>
        </w:rPr>
        <w:t>Risques HSE, réglementaires et gouvernance</w:t>
      </w:r>
      <w:r>
        <w:rPr>
          <w:rFonts w:ascii="Calibri" w:hAnsi="Calibri"/>
          <w:color w:val="5A6477"/>
          <w:sz w:val="22"/>
        </w:rPr>
        <w:tab/>
        <w:t>17</w:t>
      </w:r>
    </w:p>
    <w:p>
      <w:pPr>
        <w:tabs>
          <w:tab w:pos="8957" w:val="right" w:leader="dot"/>
        </w:tabs>
        <w:spacing w:after="60"/>
      </w:pPr>
      <w:r>
        <w:rPr>
          <w:rFonts w:ascii="Calibri" w:hAnsi="Calibri"/>
          <w:b/>
          <w:color w:val="D9A84F"/>
          <w:sz w:val="22"/>
        </w:rPr>
        <w:t xml:space="preserve">10.   </w:t>
      </w:r>
      <w:r>
        <w:rPr>
          <w:rFonts w:ascii="Calibri" w:hAnsi="Calibri"/>
          <w:color w:val="080E1A"/>
          <w:sz w:val="22"/>
        </w:rPr>
        <w:t>Conclusions &amp; décisions requises CODIR</w:t>
      </w:r>
      <w:r>
        <w:rPr>
          <w:rFonts w:ascii="Calibri" w:hAnsi="Calibri"/>
          <w:color w:val="5A6477"/>
          <w:sz w:val="22"/>
        </w:rPr>
        <w:tab/>
        <w:t>18</w:t>
      </w:r>
    </w:p>
    <w:p>
      <w:r>
        <w:br w:type="page"/>
      </w:r>
    </w:p>
    <w:p>
      <w:pPr>
        <w:keepNext/>
        <w:spacing w:before="360" w:after="160"/>
        <w:pBdr>
          <w:bottom w:val="single" w:sz="12" w:space="4" w:color="D9A84F"/>
        </w:pBdr>
      </w:pPr>
      <w:r>
        <w:rPr>
          <w:rFonts w:ascii="Calibri" w:hAnsi="Calibri"/>
          <w:b/>
          <w:color w:val="080E1A"/>
          <w:sz w:val="36"/>
        </w:rPr>
        <w:t>1. Résumé exécutif</w:t>
      </w:r>
    </w:p>
    <w:p>
      <w:pPr>
        <w:spacing w:before="0" w:after="80" w:line="324" w:lineRule="auto"/>
      </w:pPr>
      <w:r>
        <w:rPr>
          <w:rFonts w:ascii="Calibri" w:hAnsi="Calibri"/>
          <w:b w:val="0"/>
          <w:i w:val="0"/>
          <w:color w:val="1A1E2A"/>
          <w:sz w:val="21"/>
        </w:rPr>
        <w:t>Les cinq bassins exploités par EnerTchad — Doba (1,5 Gbl 2P, production depuis 2003), Bongor (brut lourd, forte viscosité), Doseo, Salamat et Termit — présentent un taux de récupération primaire moyen de 30–35 %, bien en deçà du potentiel mondial (42–55 % sur grès analogues en Afrique subsaharienne et en Amérique latine). Chaque point de récupération supplémentaire représente ≈ 15 Mbbl incrémentaux, soit ≈ 1,0 Md USD à 70 $/bbl.</w:t>
      </w:r>
    </w:p>
    <w:p>
      <w:pPr>
        <w:spacing w:before="0" w:after="80" w:line="324" w:lineRule="auto"/>
      </w:pPr>
      <w:r>
        <w:rPr>
          <w:rFonts w:ascii="Calibri" w:hAnsi="Calibri"/>
          <w:b w:val="0"/>
          <w:i w:val="0"/>
          <w:color w:val="1A1E2A"/>
          <w:sz w:val="21"/>
        </w:rPr>
        <w:t>Cette note technique synthétise les leviers éprouvés et émergents pour accroître la récupération sur champs mâtures, avec un focus particulier sur le peroxyde d’hydrogène (H₂O₂) — oxydant propre dont l’usage se diffuse dans les stimulations de puits, le contrôle de H₂S, la dépollution des eaux de production et les systèmes hybrides thermal-chemical EOR.</w:t>
      </w:r>
    </w:p>
    <w:tbl>
      <w:tblPr>
        <w:tblW w:type="auto" w:w="0"/>
        <w:tblLayout w:type="fixed"/>
        <w:tblLook w:firstColumn="1" w:firstRow="1" w:lastColumn="0" w:lastRow="0" w:noHBand="0" w:noVBand="1" w:val="04A0"/>
      </w:tblPr>
      <w:tblGrid>
        <w:gridCol w:w="9746"/>
      </w:tblGrid>
      <w:tr>
        <w:tc>
          <w:tcPr>
            <w:tcW w:type="dxa" w:w="9354"/>
            <w:shd w:val="clear" w:color="auto" w:fill="FFF7E6"/>
            <w:tcBorders>
              <w:top w:val="single" w:sz="4" w:color="E9DCB6"/>
              <w:bottom w:val="single" w:sz="4" w:color="E9DCB6"/>
              <w:right w:val="single" w:sz="4" w:color="E9DCB6"/>
              <w:left w:val="single" w:sz="24" w:color="D9A84F"/>
            </w:tcBorders>
          </w:tcPr>
          <w:p>
            <w:pPr>
              <w:spacing w:before="80" w:after="40"/>
            </w:pPr>
            <w:r/>
            <w:r>
              <w:rPr>
                <w:rFonts w:ascii="Calibri" w:hAnsi="Calibri"/>
                <w:b/>
                <w:color w:val="D9A84F"/>
                <w:sz w:val="21"/>
              </w:rPr>
              <w:t>Thèse stratégique</w:t>
            </w:r>
          </w:p>
          <w:p>
            <w:pPr>
              <w:spacing w:after="60" w:line="312" w:lineRule="auto"/>
            </w:pPr>
            <w:r>
              <w:rPr>
                <w:rFonts w:ascii="Calibri" w:hAnsi="Calibri"/>
                <w:color w:val="1A1E2A"/>
                <w:sz w:val="20"/>
              </w:rPr>
              <w:t>EnerTchad peut porter son taux de récupération moyen Doba/Bongor de 35 % à 48 % d’ici 2032 en combinant (i) waterflooding optimisé + (ii) ASP locale, (iii) CCUS / CO₂ EOR, (iv) stimulations H₂O₂ sur puits problématiques, (v) intelligent completions + digital twin. Incrémental attendu : 180–220 Mbbl, VAN10 : 4,5–6,0 Md USD, CAPEX global : 900 M USD étalé sur 7 ans.</w:t>
            </w:r>
          </w:p>
        </w:tc>
      </w:tr>
    </w:tbl>
    <w:p>
      <w:pPr>
        <w:keepNext/>
        <w:spacing w:before="160" w:after="40"/>
      </w:pPr>
      <w:r>
        <w:rPr>
          <w:rFonts w:ascii="Calibri" w:hAnsi="Calibri"/>
          <w:b/>
          <w:color w:val="2E86DE"/>
          <w:sz w:val="23"/>
        </w:rPr>
        <w:t>Indicateurs clés consolidés</w:t>
      </w:r>
    </w:p>
    <w:tbl>
      <w:tblPr>
        <w:tblW w:type="auto" w:w="0"/>
        <w:jc w:val="center"/>
        <w:tblLayout w:type="fixed"/>
        <w:tblLook w:firstColumn="1" w:firstRow="1" w:lastColumn="0" w:lastRow="0" w:noHBand="0" w:noVBand="1" w:val="04A0"/>
      </w:tblPr>
      <w:tblGrid>
        <w:gridCol w:w="3249"/>
        <w:gridCol w:w="3249"/>
        <w:gridCol w:w="3249"/>
      </w:tblGrid>
      <w:tr>
        <w:tc>
          <w:tcPr>
            <w:tcW w:type="dxa" w:w="311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Indicateur</w:t>
            </w:r>
          </w:p>
        </w:tc>
        <w:tc>
          <w:tcPr>
            <w:tcW w:type="dxa" w:w="226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Valeur cible</w:t>
            </w:r>
          </w:p>
        </w:tc>
        <w:tc>
          <w:tcPr>
            <w:tcW w:type="dxa" w:w="3969"/>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Commentaire</w:t>
            </w:r>
          </w:p>
        </w:tc>
      </w:tr>
      <w:tr>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Production actuelle groupe</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144 k b/j</w:t>
            </w:r>
          </w:p>
        </w:tc>
        <w:tc>
          <w:tcPr>
            <w:tcW w:type="dxa" w:w="3969"/>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Doba 68 % — Bongor 32 %</w:t>
            </w:r>
          </w:p>
        </w:tc>
      </w:tr>
      <w:tr>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Taux récupération primaire moyen</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30–35 %</w:t>
            </w:r>
          </w:p>
        </w:tc>
        <w:tc>
          <w:tcPr>
            <w:tcW w:type="dxa" w:w="3969"/>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vs. 42–55 % best-in-class</w:t>
            </w:r>
          </w:p>
        </w:tc>
      </w:tr>
      <w:tr>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Potentiel incrémental EOR</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+13 pts</w:t>
            </w:r>
          </w:p>
        </w:tc>
        <w:tc>
          <w:tcPr>
            <w:tcW w:type="dxa" w:w="3969"/>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 195 Mbbl en place additionnels</w:t>
            </w:r>
          </w:p>
        </w:tc>
      </w:tr>
      <w:tr>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Horizon pilote H₂O₂</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Q3 2026 – Q1 2027</w:t>
            </w:r>
          </w:p>
        </w:tc>
        <w:tc>
          <w:tcPr>
            <w:tcW w:type="dxa" w:w="3969"/>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3 puits Doba — budget 3,8 M USD</w:t>
            </w:r>
          </w:p>
        </w:tc>
      </w:tr>
      <w:tr>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Horizon commercial full-EOR</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2028–2030</w:t>
            </w:r>
          </w:p>
        </w:tc>
        <w:tc>
          <w:tcPr>
            <w:tcW w:type="dxa" w:w="3969"/>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CAPEX 900 M USD — VAN10 5,2 Md USD</w:t>
            </w:r>
          </w:p>
        </w:tc>
      </w:tr>
      <w:tr>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Objectif taux récup. 2032</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48 % moyen</w:t>
            </w:r>
          </w:p>
        </w:tc>
        <w:tc>
          <w:tcPr>
            <w:tcW w:type="dxa" w:w="3969"/>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scénario base ; optimiste 52 %</w:t>
            </w:r>
          </w:p>
        </w:tc>
      </w:tr>
    </w:tbl>
    <w:p>
      <w:r>
        <w:br w:type="page"/>
      </w:r>
    </w:p>
    <w:p>
      <w:pPr>
        <w:keepNext/>
        <w:spacing w:before="360" w:after="160"/>
        <w:pBdr>
          <w:bottom w:val="single" w:sz="12" w:space="4" w:color="D9A84F"/>
        </w:pBdr>
      </w:pPr>
      <w:r>
        <w:rPr>
          <w:rFonts w:ascii="Calibri" w:hAnsi="Calibri"/>
          <w:b/>
          <w:color w:val="080E1A"/>
          <w:sz w:val="36"/>
        </w:rPr>
        <w:t>2. Contexte — déclin naturel et potentiel résiduel</w:t>
      </w:r>
    </w:p>
    <w:p>
      <w:pPr>
        <w:keepNext/>
        <w:spacing w:before="280" w:after="80"/>
      </w:pPr>
      <w:r>
        <w:rPr>
          <w:rFonts w:ascii="Calibri" w:hAnsi="Calibri"/>
          <w:b/>
          <w:color w:val="080E1A"/>
          <w:sz w:val="27"/>
        </w:rPr>
        <w:t>2.1  Profil de déclin des bassins EnerTchad</w:t>
      </w:r>
    </w:p>
    <w:p>
      <w:pPr>
        <w:spacing w:before="0" w:after="80" w:line="324" w:lineRule="auto"/>
      </w:pPr>
      <w:r>
        <w:rPr>
          <w:rFonts w:ascii="Calibri" w:hAnsi="Calibri"/>
          <w:b w:val="0"/>
          <w:i w:val="0"/>
          <w:color w:val="1A1E2A"/>
          <w:sz w:val="21"/>
        </w:rPr>
        <w:t>Le champ de Doba, historiquement opéré par le consortium Esso/Chevron/PETRONAS puis transféré à SHT/PetroChad, présente un déclin annuel moyen de 9 à 12 % depuis 2015. Sans intervention, le plateau de 130 k b/j s’érodera sous 90 k b/j d’ici 2029. Les réservoirs cibles (Cretaceous Lower Kome/Miandoum/Bolobo) sont essentiellement des grès fluviatiles à perméabilité 20–800 mD et porosité 18–26 %. La pression de fond a chuté de 280 bar initial à ≈ 150 bar aujourd’hui.</w:t>
      </w:r>
    </w:p>
    <w:p>
      <w:pPr>
        <w:spacing w:before="0" w:after="80" w:line="324" w:lineRule="auto"/>
      </w:pPr>
      <w:r>
        <w:rPr>
          <w:rFonts w:ascii="Calibri" w:hAnsi="Calibri"/>
          <w:b w:val="0"/>
          <w:i w:val="0"/>
          <w:color w:val="1A1E2A"/>
          <w:sz w:val="21"/>
        </w:rPr>
        <w:t>Bongor (opéré par CNPC) produit un brut plus lourd (22–25 °API) avec viscosité in-situ 8–40 cP, ce qui abaisse l’efficacité du drainage naturel et du simple waterflood. La formation Ronier-M1 offre des grès peu consolidés présentant des risques de production de sable et de déstabilisation de l’architecture du puits.</w:t>
      </w:r>
    </w:p>
    <w:p>
      <w:pPr>
        <w:keepNext/>
        <w:spacing w:before="280" w:after="80"/>
      </w:pPr>
      <w:r>
        <w:rPr>
          <w:rFonts w:ascii="Calibri" w:hAnsi="Calibri"/>
          <w:b/>
          <w:color w:val="080E1A"/>
          <w:sz w:val="27"/>
        </w:rPr>
        <w:t>2.2  Huile en place résiduelle (ROIP)</w:t>
      </w:r>
    </w:p>
    <w:tbl>
      <w:tblPr>
        <w:tblW w:type="auto" w:w="0"/>
        <w:jc w:val="center"/>
        <w:tblLayout w:type="fixed"/>
        <w:tblLook w:firstColumn="1" w:firstRow="1" w:lastColumn="0" w:lastRow="0" w:noHBand="0" w:noVBand="1" w:val="04A0"/>
      </w:tblPr>
      <w:tblGrid>
        <w:gridCol w:w="2436"/>
        <w:gridCol w:w="2436"/>
        <w:gridCol w:w="2436"/>
        <w:gridCol w:w="2436"/>
      </w:tblGrid>
      <w:tr>
        <w:tc>
          <w:tcPr>
            <w:tcW w:type="dxa" w:w="2835"/>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Bassin</w:t>
            </w:r>
          </w:p>
        </w:tc>
        <w:tc>
          <w:tcPr>
            <w:tcW w:type="dxa" w:w="170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OOIP (2P)</w:t>
            </w:r>
          </w:p>
        </w:tc>
        <w:tc>
          <w:tcPr>
            <w:tcW w:type="dxa" w:w="170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Récup. primaire</w:t>
            </w:r>
          </w:p>
        </w:tc>
        <w:tc>
          <w:tcPr>
            <w:tcW w:type="dxa" w:w="311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Huile en place résiduelle</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Doba (Kome/Miandoum/Bolobo)</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1,5 Gbbl</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33 %</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 1,00 Gbbl</w:t>
            </w:r>
          </w:p>
        </w:tc>
      </w:tr>
      <w:tr>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Bongor (Ronier/Mimosa)</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0,8 Gbbl</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28 %</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 0,58 Gbbl</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Doseo-Salamat (Early Cretaceous)</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0,4 Gbbl</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0,4 Gbbl (greenfield)</w:t>
            </w:r>
          </w:p>
        </w:tc>
      </w:tr>
      <w:tr>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Termit (Agadem-ext.)</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0,3 Gbbl</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0,3 Gbbl (greenfield)</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Total Groupe</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3,0 Gbbl 2P</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~32 % moyen</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 2,28 Gbbl ROIP</w:t>
            </w:r>
          </w:p>
        </w:tc>
      </w:tr>
    </w:tbl>
    <w:p>
      <w:pPr>
        <w:spacing w:before="0" w:after="80" w:line="324" w:lineRule="auto"/>
      </w:pPr>
      <w:r>
        <w:rPr>
          <w:rFonts w:ascii="Calibri" w:hAnsi="Calibri"/>
          <w:b w:val="0"/>
          <w:i w:val="0"/>
          <w:color w:val="1A1E2A"/>
          <w:sz w:val="21"/>
        </w:rPr>
        <w:t>Sur les seuls champs mâtures Doba + Bongor, un gain de 10 pts de récupération représente ≈ 230 Mbbl. À prix de vente moyen 68–72 $/bbl avec coûts OPEX + transport ≈ 38 $/bbl, la marge unitaire incrémentale atteint 32 $/bbl, soit un gross revenue-to-equity de 7,4 Md USD à full deployment.</w:t>
      </w:r>
    </w:p>
    <w:p>
      <w:r>
        <w:br w:type="page"/>
      </w:r>
    </w:p>
    <w:p>
      <w:pPr>
        <w:keepNext/>
        <w:spacing w:before="360" w:after="160"/>
        <w:pBdr>
          <w:bottom w:val="single" w:sz="12" w:space="4" w:color="D9A84F"/>
        </w:pBdr>
      </w:pPr>
      <w:r>
        <w:rPr>
          <w:rFonts w:ascii="Calibri" w:hAnsi="Calibri"/>
          <w:b/>
          <w:color w:val="080E1A"/>
          <w:sz w:val="36"/>
        </w:rPr>
        <w:t>3. Catalogue des leviers d’optimisation</w:t>
      </w:r>
    </w:p>
    <w:p>
      <w:pPr>
        <w:spacing w:before="0" w:after="80" w:line="324" w:lineRule="auto"/>
      </w:pPr>
      <w:r>
        <w:rPr>
          <w:rFonts w:ascii="Calibri" w:hAnsi="Calibri"/>
          <w:b w:val="0"/>
          <w:i w:val="0"/>
          <w:color w:val="1A1E2A"/>
          <w:sz w:val="21"/>
        </w:rPr>
        <w:t>On distingue classiquement quatre générations : (a) optimisation primaire (gas lift, ESP, artificial lift), (b) IOR hydraulique (waterflooding, injection gaz réinjecté), (c) EOR chimique/thermique (polymère, surfactant, alcalin, vapeur, in-situ combustion), (d) EOR avancé (CO₂ miscible, MEOR, nano-fluides, hybrid H₂O₂/thermique). Chaque levier a une fenêtre d’efficacité propre selon la rhéologie, la température et la pétrophysique.</w:t>
      </w:r>
    </w:p>
    <w:p>
      <w:pPr>
        <w:keepNext/>
        <w:spacing w:before="280" w:after="80"/>
      </w:pPr>
      <w:r>
        <w:rPr>
          <w:rFonts w:ascii="Calibri" w:hAnsi="Calibri"/>
          <w:b/>
          <w:color w:val="080E1A"/>
          <w:sz w:val="27"/>
        </w:rPr>
        <w:t>3.1  Matrice de sélection technique</w:t>
      </w:r>
    </w:p>
    <w:tbl>
      <w:tblPr>
        <w:tblW w:type="auto" w:w="0"/>
        <w:jc w:val="center"/>
        <w:tblLayout w:type="fixed"/>
        <w:tblLook w:firstColumn="1" w:firstRow="1" w:lastColumn="0" w:lastRow="0" w:noHBand="0" w:noVBand="1" w:val="04A0"/>
      </w:tblPr>
      <w:tblGrid>
        <w:gridCol w:w="1949"/>
        <w:gridCol w:w="1949"/>
        <w:gridCol w:w="1949"/>
        <w:gridCol w:w="1949"/>
        <w:gridCol w:w="1949"/>
      </w:tblGrid>
      <w:tr>
        <w:tc>
          <w:tcPr>
            <w:tcW w:type="dxa" w:w="215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Technologie</w:t>
            </w:r>
          </w:p>
        </w:tc>
        <w:tc>
          <w:tcPr>
            <w:tcW w:type="dxa" w:w="255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Fenêtre applicable</w:t>
            </w:r>
          </w:p>
        </w:tc>
        <w:tc>
          <w:tcPr>
            <w:tcW w:type="dxa" w:w="124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Gain récup.</w:t>
            </w:r>
          </w:p>
        </w:tc>
        <w:tc>
          <w:tcPr>
            <w:tcW w:type="dxa" w:w="158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Coût incrémental</w:t>
            </w:r>
          </w:p>
        </w:tc>
        <w:tc>
          <w:tcPr>
            <w:tcW w:type="dxa" w:w="181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Cible EnerTchad</w:t>
            </w:r>
          </w:p>
        </w:tc>
      </w:tr>
      <w:tr>
        <w:tc>
          <w:tcPr>
            <w:tcW w:type="dxa" w:w="215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Waterflooding optimisé + PLT</w:t>
            </w:r>
          </w:p>
        </w:tc>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k &gt; 50 mD, Sw &lt; 55 %, viscosité &lt; 10 cP</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+8 à +12 pts</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 à 5 USD/bbl</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Doba toutes zones</w:t>
            </w:r>
          </w:p>
        </w:tc>
      </w:tr>
      <w:tr>
        <w:tc>
          <w:tcPr>
            <w:tcW w:type="dxa" w:w="215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Polymer flooding (HPAM / biopolymère)</w:t>
            </w:r>
          </w:p>
        </w:tc>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k 50–2000 mD, µ huile 10–100 cP, salinité &lt; 30 g/L</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+5 à +15 pts</w:t>
            </w:r>
          </w:p>
        </w:tc>
        <w:tc>
          <w:tcPr>
            <w:tcW w:type="dxa" w:w="158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4 à 8 USD/bbl</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Bongor Ronier-M1</w:t>
            </w:r>
          </w:p>
        </w:tc>
      </w:tr>
      <w:tr>
        <w:tc>
          <w:tcPr>
            <w:tcW w:type="dxa" w:w="215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ASP (Alkalin-Surfactant-Polymer)</w:t>
            </w:r>
          </w:p>
        </w:tc>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TAN &gt; 0,3 mg KOH/g, k &gt; 100 mD, T &lt; 95 °C</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+8 à +20 pts</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8 à 14 USD/bbl</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Doba Miandoum</w:t>
            </w:r>
          </w:p>
        </w:tc>
      </w:tr>
      <w:tr>
        <w:tc>
          <w:tcPr>
            <w:tcW w:type="dxa" w:w="215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Thermal EOR (CSS, SAGD, HTHP)</w:t>
            </w:r>
          </w:p>
        </w:tc>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µ &gt; 100 cP, épaisseur &gt; 10 m, sand face stable</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+15 à +35 pts</w:t>
            </w:r>
          </w:p>
        </w:tc>
        <w:tc>
          <w:tcPr>
            <w:tcW w:type="dxa" w:w="158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12 à 22 USD/bbl</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Bongor Mimosa</w:t>
            </w:r>
          </w:p>
        </w:tc>
      </w:tr>
      <w:tr>
        <w:tc>
          <w:tcPr>
            <w:tcW w:type="dxa" w:w="215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CO₂ miscible / WAG</w:t>
            </w:r>
          </w:p>
        </w:tc>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 &gt; MMP (≈ 180 bar), T &gt; 50 °C, h/V ratio &gt; 0,1</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+7 à +15 pts</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9 à 18 USD/bbl</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Doba Bolobo (deep)</w:t>
            </w:r>
          </w:p>
        </w:tc>
      </w:tr>
      <w:tr>
        <w:tc>
          <w:tcPr>
            <w:tcW w:type="dxa" w:w="215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H₂O₂ stimulation &amp; hybrid</w:t>
            </w:r>
          </w:p>
        </w:tc>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Dégâts de formation, H₂S, scale organique</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+3 à +10 pts (local)</w:t>
            </w:r>
          </w:p>
        </w:tc>
        <w:tc>
          <w:tcPr>
            <w:tcW w:type="dxa" w:w="158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 à 4 USD/bbl (well-level)</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Puits individuels Doba/Bongor</w:t>
            </w:r>
          </w:p>
        </w:tc>
      </w:tr>
      <w:tr>
        <w:tc>
          <w:tcPr>
            <w:tcW w:type="dxa" w:w="215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MEOR (spiruline, bactéries)</w:t>
            </w:r>
          </w:p>
        </w:tc>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T &lt; 85 °C, salinité modérée, réservoirs fermés</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+3 à +8 pts</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 à 5 USD/bbl</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Pilote Doba (sourcing tchadien)</w:t>
            </w:r>
          </w:p>
        </w:tc>
      </w:tr>
      <w:tr>
        <w:tc>
          <w:tcPr>
            <w:tcW w:type="dxa" w:w="215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Nano-fluides (silica, graphene)</w:t>
            </w:r>
          </w:p>
        </w:tc>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Hétérogénéité élevée, wettabilité mixte</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+4 à +12 pts</w:t>
            </w:r>
          </w:p>
        </w:tc>
        <w:tc>
          <w:tcPr>
            <w:tcW w:type="dxa" w:w="158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6 à 14 USD/bbl</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R&amp;D — horizon post-2030</w:t>
            </w:r>
          </w:p>
        </w:tc>
      </w:tr>
    </w:tbl>
    <w:p>
      <w:pPr>
        <w:keepNext/>
        <w:spacing w:before="280" w:after="80"/>
      </w:pPr>
      <w:r>
        <w:rPr>
          <w:rFonts w:ascii="Calibri" w:hAnsi="Calibri"/>
          <w:b/>
          <w:color w:val="080E1A"/>
          <w:sz w:val="27"/>
        </w:rPr>
        <w:t>3.2  Priorités opérationnelles Doba — déjà engagées</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Installation/upgrade pompes ESP (Electrical Submersible Pumps) sur 42 puits — gain dette production 8 %</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Programme PLT (Production Logging Tool) systématique semestriel — optimisation allocation zone par zone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Water cut management + réinjection Water-to-Value™ vers irrigation communautaire (déjà en place)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ASP pilote sur 6 puits Miandoum — 2026 Q2 (matière première : natron Borkou + cellulose coton)</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Intelligent completion (ICV + fiber-optic DTS) — 12 puits Doba 2026–2027</w:t>
      </w:r>
    </w:p>
    <w:p>
      <w:pPr>
        <w:keepNext/>
        <w:spacing w:before="280" w:after="80"/>
      </w:pPr>
      <w:r>
        <w:rPr>
          <w:rFonts w:ascii="Calibri" w:hAnsi="Calibri"/>
          <w:b/>
          <w:color w:val="080E1A"/>
          <w:sz w:val="27"/>
        </w:rPr>
        <w:t>3.3  Priorités émergentes Bongor — brut lourd</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Pilote CSS (Cyclic Steam Stimulation) sur Ronier 3 puits — 2026 Q4 — CAPEX 22 M USD</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Évaluation SAGD commercial 2028 — dépendante disponibilité vapeur + générateurs GTL</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Polymer flooding HPAM haute température — tests laboratoire Q1 2026 au PVT lab EnerTchad</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Sand control sleeves + gravel pack systématique pour éviter production de sable M1</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Hybridation H₂O₂ + vapeur pour réduire dégâts de formation autour des puits thermiques</w:t>
      </w:r>
    </w:p>
    <w:p>
      <w:r>
        <w:br w:type="page"/>
      </w:r>
    </w:p>
    <w:p>
      <w:pPr>
        <w:keepNext/>
        <w:spacing w:before="360" w:after="160"/>
        <w:pBdr>
          <w:bottom w:val="single" w:sz="12" w:space="4" w:color="D9A84F"/>
        </w:pBdr>
      </w:pPr>
      <w:r>
        <w:rPr>
          <w:rFonts w:ascii="Calibri" w:hAnsi="Calibri"/>
          <w:b/>
          <w:color w:val="080E1A"/>
          <w:sz w:val="36"/>
        </w:rPr>
        <w:t>4. Focus — Peroxyde d’hydrogène (H₂O₂) en stimulation de puits</w:t>
      </w:r>
    </w:p>
    <w:p>
      <w:pPr>
        <w:keepNext/>
        <w:spacing w:before="280" w:after="80"/>
      </w:pPr>
      <w:r>
        <w:rPr>
          <w:rFonts w:ascii="Calibri" w:hAnsi="Calibri"/>
          <w:b/>
          <w:color w:val="080E1A"/>
          <w:sz w:val="27"/>
        </w:rPr>
        <w:t>4.1  Pourquoi le H₂O₂ est redevenu stratégique</w:t>
      </w:r>
    </w:p>
    <w:p>
      <w:pPr>
        <w:spacing w:before="0" w:after="80" w:line="324" w:lineRule="auto"/>
      </w:pPr>
      <w:r>
        <w:rPr>
          <w:rFonts w:ascii="Calibri" w:hAnsi="Calibri"/>
          <w:b w:val="0"/>
          <w:i w:val="0"/>
          <w:color w:val="1A1E2A"/>
          <w:sz w:val="21"/>
        </w:rPr>
        <w:t>Le peroxyde d’hydrogène (H₂O₂) connaît depuis 2018 un regain d’intérêt en sciences pétrolières pour trois raisons : (1) il génère in-situ des radicaux hydroxyles (•OH) extrêmement oxydants capables de dégrader les dépôts organiques (paraffines, asphaltènes, biofilms), (2) il libère massivement de l’oxygène qui peut initier des micro-combustions contrôlées dans le réservoir — principe de « matrix oxidation » — et (3) son produit de décomposition est l’eau, éliminant tout résidu chimique lourd à gérer en surface. C’est un oxydant « propre » au regard des standards HSE modernes.</w:t>
      </w:r>
    </w:p>
    <w:tbl>
      <w:tblPr>
        <w:tblW w:type="auto" w:w="0"/>
        <w:tblLayout w:type="fixed"/>
        <w:tblLook w:firstColumn="1" w:firstRow="1" w:lastColumn="0" w:lastRow="0" w:noHBand="0" w:noVBand="1" w:val="04A0"/>
      </w:tblPr>
      <w:tblGrid>
        <w:gridCol w:w="9746"/>
      </w:tblGrid>
      <w:tr>
        <w:tc>
          <w:tcPr>
            <w:tcW w:type="dxa" w:w="9354"/>
            <w:shd w:val="clear" w:color="auto" w:fill="EAF3FC"/>
            <w:tcBorders>
              <w:top w:val="single" w:sz="4" w:color="E9DCB6"/>
              <w:bottom w:val="single" w:sz="4" w:color="E9DCB6"/>
              <w:right w:val="single" w:sz="4" w:color="E9DCB6"/>
              <w:left w:val="single" w:sz="24" w:color="D9A84F"/>
            </w:tcBorders>
          </w:tcPr>
          <w:p>
            <w:pPr>
              <w:spacing w:before="80" w:after="40"/>
            </w:pPr>
            <w:r/>
            <w:r>
              <w:rPr>
                <w:rFonts w:ascii="Calibri" w:hAnsi="Calibri"/>
                <w:b/>
                <w:color w:val="2E86DE"/>
                <w:sz w:val="21"/>
              </w:rPr>
              <w:t>Paradigme clé</w:t>
            </w:r>
          </w:p>
          <w:p>
            <w:pPr>
              <w:spacing w:after="60" w:line="312" w:lineRule="auto"/>
            </w:pPr>
            <w:r>
              <w:rPr>
                <w:rFonts w:ascii="Calibri" w:hAnsi="Calibri"/>
                <w:color w:val="1A1E2A"/>
                <w:sz w:val="20"/>
              </w:rPr>
              <w:t>Le H₂O₂ n’est pas un substitut au waterflood ou à l’ASP. C’est un levier complémentaire « well-level » qui lève les goulots d’étranglement en proche-puits (formation damage, scale, H₂S, biofilms) et peut initier des régimes thermiques locaux. Il se déploie en quelques jours par puits à coût &lt; 200 k USD, avec ROI souvent observé en &lt; 90 jours.</w:t>
            </w:r>
          </w:p>
        </w:tc>
      </w:tr>
    </w:tbl>
    <w:p>
      <w:pPr>
        <w:keepNext/>
        <w:spacing w:before="280" w:after="80"/>
      </w:pPr>
      <w:r>
        <w:rPr>
          <w:rFonts w:ascii="Calibri" w:hAnsi="Calibri"/>
          <w:b/>
          <w:color w:val="080E1A"/>
          <w:sz w:val="27"/>
        </w:rPr>
        <w:t>4.2  Mécanismes physico-chimiques</w:t>
      </w:r>
    </w:p>
    <w:p>
      <w:pPr>
        <w:keepNext/>
        <w:spacing w:before="160" w:after="40"/>
      </w:pPr>
      <w:r>
        <w:rPr>
          <w:rFonts w:ascii="Calibri" w:hAnsi="Calibri"/>
          <w:b/>
          <w:color w:val="2E86DE"/>
          <w:sz w:val="23"/>
        </w:rPr>
        <w:t>Décomposition catalysée</w:t>
      </w:r>
    </w:p>
    <w:p>
      <w:pPr>
        <w:spacing w:before="0" w:after="80" w:line="324" w:lineRule="auto"/>
      </w:pPr>
      <w:r>
        <w:rPr>
          <w:rFonts w:ascii="Calibri" w:hAnsi="Calibri"/>
          <w:b w:val="0"/>
          <w:i w:val="0"/>
          <w:color w:val="1A1E2A"/>
          <w:sz w:val="21"/>
        </w:rPr>
        <w:t>Dans le réservoir, H₂O₂ se décompose en 2 H₂O + O₂ + chaleur (ΔH ≈ −98 kJ/mol). La cinétique dépend du pH, de la présence d’ions métalliques (Fe²⁺, Cu²⁺, Mn²⁺) et de la température. L’introduction contrôlée de catalyseurs ou d’activateurs (chélates Fe(III)-EDTA, réactifs Fenton) permet de décaler l’initiation hors du tubing et dans la matrice poreuse (retard de 20–90 min).</w:t>
      </w:r>
    </w:p>
    <w:p>
      <w:pPr>
        <w:keepNext/>
        <w:spacing w:before="160" w:after="40"/>
      </w:pPr>
      <w:r>
        <w:rPr>
          <w:rFonts w:ascii="Calibri" w:hAnsi="Calibri"/>
          <w:b/>
          <w:color w:val="2E86DE"/>
          <w:sz w:val="23"/>
        </w:rPr>
        <w:t>Oxydation des dépôts organiques</w:t>
      </w:r>
    </w:p>
    <w:p>
      <w:pPr>
        <w:spacing w:before="0" w:after="80" w:line="324" w:lineRule="auto"/>
      </w:pPr>
      <w:r>
        <w:rPr>
          <w:rFonts w:ascii="Calibri" w:hAnsi="Calibri"/>
          <w:b w:val="0"/>
          <w:i w:val="0"/>
          <w:color w:val="1A1E2A"/>
          <w:sz w:val="21"/>
        </w:rPr>
        <w:t>Les radicaux •OH attaquent les liaisons C–H et C=C des asphaltènes, paraffines et résines, abaissant leur viscosité effective et les remobilisant. Dans une matrice grès à 70–90 °C, une injection H₂O₂ 8–12 % wt pendant 4–6 h peut accroître la productivité d’un puits de 25–70 % sans pose de sucker-rod ou reworking lourd.</w:t>
      </w:r>
    </w:p>
    <w:p>
      <w:pPr>
        <w:keepNext/>
        <w:spacing w:before="160" w:after="40"/>
      </w:pPr>
      <w:r>
        <w:rPr>
          <w:rFonts w:ascii="Calibri" w:hAnsi="Calibri"/>
          <w:b/>
          <w:color w:val="2E86DE"/>
          <w:sz w:val="23"/>
        </w:rPr>
        <w:t>Contrôle du H₂S</w:t>
      </w:r>
    </w:p>
    <w:p>
      <w:pPr>
        <w:spacing w:before="0" w:after="80" w:line="324" w:lineRule="auto"/>
      </w:pPr>
      <w:r>
        <w:rPr>
          <w:rFonts w:ascii="Calibri" w:hAnsi="Calibri"/>
          <w:b w:val="0"/>
          <w:i w:val="0"/>
          <w:color w:val="1A1E2A"/>
          <w:sz w:val="21"/>
        </w:rPr>
        <w:t>Plusieurs champs Doba présentent un H₂S localisé (&lt; 100 ppm) qui corrode les completions et contamine le brut. Le H₂O₂ oxyde le H₂S en soufre élémentaire (S⁰) ou en sulfate (SO₄²⁻) selon le pH : c’est une alternative aux amines régénératives coûteuses, particulièrement pertinente pour les petits clusters de puits isolés.</w:t>
      </w:r>
    </w:p>
    <w:p>
      <w:pPr>
        <w:keepNext/>
        <w:spacing w:before="160" w:after="40"/>
      </w:pPr>
      <w:r>
        <w:rPr>
          <w:rFonts w:ascii="Calibri" w:hAnsi="Calibri"/>
          <w:b/>
          <w:color w:val="2E86DE"/>
          <w:sz w:val="23"/>
        </w:rPr>
        <w:t>Initiation thermique contrôlée — hybride H₂O₂ / vapeur</w:t>
      </w:r>
    </w:p>
    <w:p>
      <w:pPr>
        <w:spacing w:before="0" w:after="80" w:line="324" w:lineRule="auto"/>
      </w:pPr>
      <w:r>
        <w:rPr>
          <w:rFonts w:ascii="Calibri" w:hAnsi="Calibri"/>
          <w:b w:val="0"/>
          <w:i w:val="0"/>
          <w:color w:val="1A1E2A"/>
          <w:sz w:val="21"/>
        </w:rPr>
        <w:t>Sur brut lourd (Bongor), l’injection séquentielle vapeur + H₂O₂ chargée catalyseur permet d’initier des foyers d’oxydation in-situ qui prolongent la chaleur utile de 30–50 %. Cette approche, dite « THAI-H₂O₂ » dérivée du procédé Toe-to-Heel Air Injection, est en pilote industriel au Canada (Cold Lake) et au Venezuela depuis 2022 ; pas encore testée en Afrique subsaharienne.</w:t>
      </w:r>
    </w:p>
    <w:p>
      <w:pPr>
        <w:keepNext/>
        <w:spacing w:before="280" w:after="80"/>
      </w:pPr>
      <w:r>
        <w:rPr>
          <w:rFonts w:ascii="Calibri" w:hAnsi="Calibri"/>
          <w:b/>
          <w:color w:val="080E1A"/>
          <w:sz w:val="27"/>
        </w:rPr>
        <w:t>4.3  Tableau applicabilité par cas d’usage</w:t>
      </w:r>
    </w:p>
    <w:tbl>
      <w:tblPr>
        <w:tblW w:type="auto" w:w="0"/>
        <w:jc w:val="center"/>
        <w:tblLayout w:type="fixed"/>
        <w:tblLook w:firstColumn="1" w:firstRow="1" w:lastColumn="0" w:lastRow="0" w:noHBand="0" w:noVBand="1" w:val="04A0"/>
      </w:tblPr>
      <w:tblGrid>
        <w:gridCol w:w="1949"/>
        <w:gridCol w:w="1949"/>
        <w:gridCol w:w="1949"/>
        <w:gridCol w:w="1949"/>
        <w:gridCol w:w="1949"/>
      </w:tblGrid>
      <w:tr>
        <w:tc>
          <w:tcPr>
            <w:tcW w:type="dxa" w:w="238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Cas d’usage</w:t>
            </w:r>
          </w:p>
        </w:tc>
        <w:tc>
          <w:tcPr>
            <w:tcW w:type="dxa" w:w="192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Gain attendu</w:t>
            </w:r>
          </w:p>
        </w:tc>
        <w:tc>
          <w:tcPr>
            <w:tcW w:type="dxa" w:w="158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Coût typique</w:t>
            </w:r>
          </w:p>
        </w:tc>
        <w:tc>
          <w:tcPr>
            <w:tcW w:type="dxa" w:w="170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Maturité</w:t>
            </w:r>
          </w:p>
        </w:tc>
        <w:tc>
          <w:tcPr>
            <w:tcW w:type="dxa" w:w="175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Time-to-impact</w:t>
            </w:r>
          </w:p>
        </w:tc>
      </w:tr>
      <w:tr>
        <w:tc>
          <w:tcPr>
            <w:tcW w:type="dxa" w:w="238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Dépôts paraffines / asphaltènes</w:t>
            </w:r>
          </w:p>
        </w:tc>
        <w:tc>
          <w:tcPr>
            <w:tcW w:type="dxa" w:w="192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+25–70 % prod.</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80–180 k USD</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Haute</w:t>
            </w:r>
          </w:p>
        </w:tc>
        <w:tc>
          <w:tcPr>
            <w:tcW w:type="dxa" w:w="175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&lt; 90 jours</w:t>
            </w:r>
          </w:p>
        </w:tc>
      </w:tr>
      <w:tr>
        <w:tc>
          <w:tcPr>
            <w:tcW w:type="dxa" w:w="238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Biofilms / bactéries SRB</w:t>
            </w:r>
          </w:p>
        </w:tc>
        <w:tc>
          <w:tcPr>
            <w:tcW w:type="dxa" w:w="192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+10–30 % injectivité</w:t>
            </w:r>
          </w:p>
        </w:tc>
        <w:tc>
          <w:tcPr>
            <w:tcW w:type="dxa" w:w="158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50–120 k USD</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Haute</w:t>
            </w:r>
          </w:p>
        </w:tc>
        <w:tc>
          <w:tcPr>
            <w:tcW w:type="dxa" w:w="175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30 jours</w:t>
            </w:r>
          </w:p>
        </w:tc>
      </w:tr>
      <w:tr>
        <w:tc>
          <w:tcPr>
            <w:tcW w:type="dxa" w:w="238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H₂S souterrain (corrosion)</w:t>
            </w:r>
          </w:p>
        </w:tc>
        <w:tc>
          <w:tcPr>
            <w:tcW w:type="dxa" w:w="192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−60 à −95 % H₂S</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120–300 k USD/an</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Moyenne-haute</w:t>
            </w:r>
          </w:p>
        </w:tc>
        <w:tc>
          <w:tcPr>
            <w:tcW w:type="dxa" w:w="175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Continu</w:t>
            </w:r>
          </w:p>
        </w:tc>
      </w:tr>
      <w:tr>
        <w:tc>
          <w:tcPr>
            <w:tcW w:type="dxa" w:w="238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Scale inorganique (FeS, CaCO₃)</w:t>
            </w:r>
          </w:p>
        </w:tc>
        <w:tc>
          <w:tcPr>
            <w:tcW w:type="dxa" w:w="192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+15–40 % prod.</w:t>
            </w:r>
          </w:p>
        </w:tc>
        <w:tc>
          <w:tcPr>
            <w:tcW w:type="dxa" w:w="158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60–140 k USD</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Moyenne</w:t>
            </w:r>
          </w:p>
        </w:tc>
        <w:tc>
          <w:tcPr>
            <w:tcW w:type="dxa" w:w="175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60 jours</w:t>
            </w:r>
          </w:p>
        </w:tc>
      </w:tr>
      <w:tr>
        <w:tc>
          <w:tcPr>
            <w:tcW w:type="dxa" w:w="238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Matrix oxidation huile lourde</w:t>
            </w:r>
          </w:p>
        </w:tc>
        <w:tc>
          <w:tcPr>
            <w:tcW w:type="dxa" w:w="192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+3–10 pts récup. locale</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200–500 k USD</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À prouver localement</w:t>
            </w:r>
          </w:p>
        </w:tc>
        <w:tc>
          <w:tcPr>
            <w:tcW w:type="dxa" w:w="175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12–24 mois</w:t>
            </w:r>
          </w:p>
        </w:tc>
      </w:tr>
      <w:tr>
        <w:tc>
          <w:tcPr>
            <w:tcW w:type="dxa" w:w="238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Hybrid thermal (H₂O₂ + vapeur)</w:t>
            </w:r>
          </w:p>
        </w:tc>
        <w:tc>
          <w:tcPr>
            <w:tcW w:type="dxa" w:w="192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+15–25 % sur cycle CSS</w:t>
            </w:r>
          </w:p>
        </w:tc>
        <w:tc>
          <w:tcPr>
            <w:tcW w:type="dxa" w:w="158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+8 % coût CSS</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Moyenne (pilote requis)</w:t>
            </w:r>
          </w:p>
        </w:tc>
        <w:tc>
          <w:tcPr>
            <w:tcW w:type="dxa" w:w="175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6–18 mois</w:t>
            </w:r>
          </w:p>
        </w:tc>
      </w:tr>
      <w:tr>
        <w:tc>
          <w:tcPr>
            <w:tcW w:type="dxa" w:w="238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Traitement eaux produites</w:t>
            </w:r>
          </w:p>
        </w:tc>
        <w:tc>
          <w:tcPr>
            <w:tcW w:type="dxa" w:w="192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−85 % COT, −90 % bactéries</w:t>
            </w:r>
          </w:p>
        </w:tc>
        <w:tc>
          <w:tcPr>
            <w:tcW w:type="dxa" w:w="158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2–4 USD/m³ eau</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Haute</w:t>
            </w:r>
          </w:p>
        </w:tc>
        <w:tc>
          <w:tcPr>
            <w:tcW w:type="dxa" w:w="175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Immédiat</w:t>
            </w:r>
          </w:p>
        </w:tc>
      </w:tr>
    </w:tbl>
    <w:p>
      <w:pPr>
        <w:keepNext/>
        <w:spacing w:before="280" w:after="80"/>
      </w:pPr>
      <w:r>
        <w:rPr>
          <w:rFonts w:ascii="Calibri" w:hAnsi="Calibri"/>
          <w:b/>
          <w:color w:val="080E1A"/>
          <w:sz w:val="27"/>
        </w:rPr>
        <w:t>4.4  Plan pilote EnerTchad — Doba Q3 2026</w:t>
      </w:r>
    </w:p>
    <w:p>
      <w:pPr>
        <w:spacing w:before="0" w:after="80" w:line="324" w:lineRule="auto"/>
      </w:pPr>
      <w:r>
        <w:rPr>
          <w:rFonts w:ascii="Calibri" w:hAnsi="Calibri"/>
          <w:b w:val="0"/>
          <w:i w:val="0"/>
          <w:color w:val="1A1E2A"/>
          <w:sz w:val="21"/>
        </w:rPr>
        <w:t>Objectif : valider 3 cas d’usage prioritaires sur 3 puits sélectionnés du champ Miandoum.</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Puits DBM-14 : stimulation dépôts paraffines — H₂O₂ 10 % + surfactant biodégradable, 72 h résidence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Puits DBM-27 : contrôle H₂S (actuellement 45 ppm) — injection continue 0,5 % wt pendant 6 mois</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Puits DBM-33 : test matrix oxidation — H₂O₂ 15 % + catalyseur Fe(III)-EDTA, monitoring tracer</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Monitoring : PLT avant/après, échantillons fluides mensuels, fiber-optic DTS si disponible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Gouvernance : revue mensuelle comité reservoir engineering, validation HSE IRSST + lois locales</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Budget : 3,8 M USD tout inclus (produits chimiques 1,1 M + logistique 0,9 M + monitoring 0,8 M + réserve 1,0 M)</w:t>
      </w:r>
    </w:p>
    <w:tbl>
      <w:tblPr>
        <w:tblW w:type="auto" w:w="0"/>
        <w:tblLayout w:type="fixed"/>
        <w:tblLook w:firstColumn="1" w:firstRow="1" w:lastColumn="0" w:lastRow="0" w:noHBand="0" w:noVBand="1" w:val="04A0"/>
      </w:tblPr>
      <w:tblGrid>
        <w:gridCol w:w="9746"/>
      </w:tblGrid>
      <w:tr>
        <w:tc>
          <w:tcPr>
            <w:tcW w:type="dxa" w:w="9354"/>
            <w:shd w:val="clear" w:color="auto" w:fill="E6F7F0"/>
            <w:tcBorders>
              <w:top w:val="single" w:sz="4" w:color="E9DCB6"/>
              <w:bottom w:val="single" w:sz="4" w:color="E9DCB6"/>
              <w:right w:val="single" w:sz="4" w:color="E9DCB6"/>
              <w:left w:val="single" w:sz="24" w:color="D9A84F"/>
            </w:tcBorders>
          </w:tcPr>
          <w:p>
            <w:pPr>
              <w:spacing w:before="80" w:after="40"/>
            </w:pPr>
            <w:r/>
            <w:r>
              <w:rPr>
                <w:rFonts w:ascii="Calibri" w:hAnsi="Calibri"/>
                <w:b/>
                <w:color w:val="10B981"/>
                <w:sz w:val="21"/>
              </w:rPr>
              <w:t>Partenaires techniques envisagés</w:t>
            </w:r>
          </w:p>
          <w:p>
            <w:pPr>
              <w:spacing w:after="60" w:line="312" w:lineRule="auto"/>
            </w:pPr>
            <w:r>
              <w:rPr>
                <w:rFonts w:ascii="Calibri" w:hAnsi="Calibri"/>
                <w:color w:val="1A1E2A"/>
                <w:sz w:val="20"/>
              </w:rPr>
              <w:t>Kemira (Finlande, H₂O₂ industriel), Solvay Peroxides (Belgique, grade pétrolier), Arkema (France), IFP Énergies Nouvelles (protocoles laboratoire), Schlumberger SLB ChampionX (surfactants compagnons), Université de N’Djamena Département de Géologie (suivi géochimique).</w:t>
            </w:r>
          </w:p>
        </w:tc>
      </w:tr>
    </w:tbl>
    <w:p>
      <w:r>
        <w:br w:type="page"/>
      </w:r>
    </w:p>
    <w:p>
      <w:pPr>
        <w:keepNext/>
        <w:spacing w:before="360" w:after="160"/>
        <w:pBdr>
          <w:bottom w:val="single" w:sz="12" w:space="4" w:color="D9A84F"/>
        </w:pBdr>
      </w:pPr>
      <w:r>
        <w:rPr>
          <w:rFonts w:ascii="Calibri" w:hAnsi="Calibri"/>
          <w:b/>
          <w:color w:val="080E1A"/>
          <w:sz w:val="36"/>
        </w:rPr>
        <w:t>5. Technologies digitales — digital twin, IA et intelligent completions</w:t>
      </w:r>
    </w:p>
    <w:p>
      <w:pPr>
        <w:keepNext/>
        <w:spacing w:before="280" w:after="80"/>
      </w:pPr>
      <w:r>
        <w:rPr>
          <w:rFonts w:ascii="Calibri" w:hAnsi="Calibri"/>
          <w:b/>
          <w:color w:val="080E1A"/>
          <w:sz w:val="27"/>
        </w:rPr>
        <w:t>5.1  Digital Twin réservoir + surface</w:t>
      </w:r>
    </w:p>
    <w:p>
      <w:pPr>
        <w:spacing w:before="0" w:after="80" w:line="324" w:lineRule="auto"/>
      </w:pPr>
      <w:r>
        <w:rPr>
          <w:rFonts w:ascii="Calibri" w:hAnsi="Calibri"/>
          <w:b w:val="0"/>
          <w:i w:val="0"/>
          <w:color w:val="1A1E2A"/>
          <w:sz w:val="21"/>
        </w:rPr>
        <w:t>Un jumeau numérique haute-fidélité couple (a) un modèle réservoir 3D (simulation Eclipse/CMG à mailles 50×50×2 m, mise à jour trimestrielle par history matching automatisé), (b) un modèle complétion (nodal analysis Prosper/PIPESIM), (c) un modèle surface (HYSYS pour séparation et traitement), et (d) un flux SCADA temps réel. Chez ExxonMobil, Shell et Saudi Aramco, ce type d’architecture a permis des gains de production de 3 à 7 % sans CAPEX additionnel via meilleure allocation de puits, timing de workover et anticipation du water breakthrough.</w:t>
      </w:r>
    </w:p>
    <w:p>
      <w:pPr>
        <w:keepNext/>
        <w:spacing w:before="280" w:after="80"/>
      </w:pPr>
      <w:r>
        <w:rPr>
          <w:rFonts w:ascii="Calibri" w:hAnsi="Calibri"/>
          <w:b/>
          <w:color w:val="080E1A"/>
          <w:sz w:val="27"/>
        </w:rPr>
        <w:t>5.2  IA prédictive opérationnelle</w:t>
      </w:r>
    </w:p>
    <w:tbl>
      <w:tblPr>
        <w:tblW w:type="auto" w:w="0"/>
        <w:jc w:val="center"/>
        <w:tblLayout w:type="fixed"/>
        <w:tblLook w:firstColumn="1" w:firstRow="1" w:lastColumn="0" w:lastRow="0" w:noHBand="0" w:noVBand="1" w:val="04A0"/>
      </w:tblPr>
      <w:tblGrid>
        <w:gridCol w:w="2436"/>
        <w:gridCol w:w="2436"/>
        <w:gridCol w:w="2436"/>
        <w:gridCol w:w="2436"/>
      </w:tblGrid>
      <w:tr>
        <w:tc>
          <w:tcPr>
            <w:tcW w:type="dxa" w:w="255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Cas d’usage</w:t>
            </w:r>
          </w:p>
        </w:tc>
        <w:tc>
          <w:tcPr>
            <w:tcW w:type="dxa" w:w="255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Méthode</w:t>
            </w:r>
          </w:p>
        </w:tc>
        <w:tc>
          <w:tcPr>
            <w:tcW w:type="dxa" w:w="181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Impact</w:t>
            </w:r>
          </w:p>
        </w:tc>
        <w:tc>
          <w:tcPr>
            <w:tcW w:type="dxa" w:w="226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Valeur économique</w:t>
            </w:r>
          </w:p>
        </w:tc>
      </w:tr>
      <w:tr>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Prédiction water breakthrough</w:t>
            </w:r>
          </w:p>
        </w:tc>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LSTM + réseaux bayésiens</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+6 semaines préavis</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Réduction water cut 4-9 %</w:t>
            </w:r>
          </w:p>
        </w:tc>
      </w:tr>
      <w:tr>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Optimisation gas/ESP lift</w:t>
            </w:r>
          </w:p>
        </w:tc>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Reinforcement learning</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+2-5 % prod.</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Gain 3-6 M USD/an</w:t>
            </w:r>
          </w:p>
        </w:tc>
      </w:tr>
      <w:tr>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Détection anomalies ESP</w:t>
            </w:r>
          </w:p>
        </w:tc>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Isolation Forest + autoencoders</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−45 % downtime</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Évite 8-12 workovers/an</w:t>
            </w:r>
          </w:p>
        </w:tc>
      </w:tr>
      <w:tr>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Diagnostic rupture casing</w:t>
            </w:r>
          </w:p>
        </w:tc>
        <w:tc>
          <w:tcPr>
            <w:tcW w:type="dxa" w:w="255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CNN sur images cement-bond</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+30 % taux détection</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Mitigation risque majeur</w:t>
            </w:r>
          </w:p>
        </w:tc>
      </w:tr>
      <w:tr>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Optimisation ASP chemical dosing</w:t>
            </w:r>
          </w:p>
        </w:tc>
        <w:tc>
          <w:tcPr>
            <w:tcW w:type="dxa" w:w="255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Model Predictive Control</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−12 % consommation</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Gain 1,5 M USD/an</w:t>
            </w:r>
          </w:p>
        </w:tc>
      </w:tr>
    </w:tbl>
    <w:p>
      <w:pPr>
        <w:keepNext/>
        <w:spacing w:before="280" w:after="80"/>
      </w:pPr>
      <w:r>
        <w:rPr>
          <w:rFonts w:ascii="Calibri" w:hAnsi="Calibri"/>
          <w:b/>
          <w:color w:val="080E1A"/>
          <w:sz w:val="27"/>
        </w:rPr>
        <w:t>5.3  Intelligent completions</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ICV (Inflow Control Valves) — permet de fermer à distance une zone à fort water cut (12 puits Doba 2026-2027)</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AICD (Autonomous Inflow Control Devices) — atténuent naturellement l’eau ou le gaz breakthrough</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Fiber-optic DTS (Distributed Temperature Sensing) — profils thermiques permanents pour pilotage CSS/EOR</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Fiber-optic DAS (Distributed Acoustic Sensing) — détection de leaks, sand ingress, activité sismique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Smart packers gonflables — isolation dynamique des zones productrices sans intervention en surface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Downhole chemical injection mandrel — dosage H₂O₂ / surfactant / corrosion inhibitor en continu</w:t>
      </w:r>
    </w:p>
    <w:p>
      <w:pPr>
        <w:keepNext/>
        <w:spacing w:before="280" w:after="80"/>
      </w:pPr>
      <w:r>
        <w:rPr>
          <w:rFonts w:ascii="Calibri" w:hAnsi="Calibri"/>
          <w:b/>
          <w:color w:val="080E1A"/>
          <w:sz w:val="27"/>
        </w:rPr>
        <w:t>5.4  Stack technologique proposé EnerTchad (scénario base)</w:t>
      </w:r>
    </w:p>
    <w:tbl>
      <w:tblPr>
        <w:tblW w:type="auto" w:w="0"/>
        <w:jc w:val="center"/>
        <w:tblLayout w:type="fixed"/>
        <w:tblLook w:firstColumn="1" w:firstRow="1" w:lastColumn="0" w:lastRow="0" w:noHBand="0" w:noVBand="1" w:val="04A0"/>
      </w:tblPr>
      <w:tblGrid>
        <w:gridCol w:w="2436"/>
        <w:gridCol w:w="2436"/>
        <w:gridCol w:w="2436"/>
        <w:gridCol w:w="2436"/>
      </w:tblGrid>
      <w:tr>
        <w:tc>
          <w:tcPr>
            <w:tcW w:type="dxa" w:w="238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Domaine</w:t>
            </w:r>
          </w:p>
        </w:tc>
        <w:tc>
          <w:tcPr>
            <w:tcW w:type="dxa" w:w="328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Solutions recommandées</w:t>
            </w:r>
          </w:p>
        </w:tc>
        <w:tc>
          <w:tcPr>
            <w:tcW w:type="dxa" w:w="141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Nature</w:t>
            </w:r>
          </w:p>
        </w:tc>
        <w:tc>
          <w:tcPr>
            <w:tcW w:type="dxa" w:w="181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Budget indicatif</w:t>
            </w:r>
          </w:p>
        </w:tc>
      </w:tr>
      <w:tr>
        <w:tc>
          <w:tcPr>
            <w:tcW w:type="dxa" w:w="238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Modélisation réservoir</w:t>
            </w:r>
          </w:p>
        </w:tc>
        <w:tc>
          <w:tcPr>
            <w:tcW w:type="dxa" w:w="328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CMG STARS (thermal), Eclipse 300</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Licences annuelles</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1,8 M USD/an</w:t>
            </w:r>
          </w:p>
        </w:tc>
      </w:tr>
      <w:tr>
        <w:tc>
          <w:tcPr>
            <w:tcW w:type="dxa" w:w="238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Digital twin surface</w:t>
            </w:r>
          </w:p>
        </w:tc>
        <w:tc>
          <w:tcPr>
            <w:tcW w:type="dxa" w:w="328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AVEVA PI / OSIsoft, Siemens XHQ</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Intégration</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3,5 M USD CAPEX</w:t>
            </w:r>
          </w:p>
        </w:tc>
      </w:tr>
      <w:tr>
        <w:tc>
          <w:tcPr>
            <w:tcW w:type="dxa" w:w="238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Plateforme IA / MLOps</w:t>
            </w:r>
          </w:p>
        </w:tc>
        <w:tc>
          <w:tcPr>
            <w:tcW w:type="dxa" w:w="328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Databricks + MLflow + Azure ML</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Run</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0,9 M USD/an</w:t>
            </w:r>
          </w:p>
        </w:tc>
      </w:tr>
      <w:tr>
        <w:tc>
          <w:tcPr>
            <w:tcW w:type="dxa" w:w="238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SCADA OT</w:t>
            </w:r>
          </w:p>
        </w:tc>
        <w:tc>
          <w:tcPr>
            <w:tcW w:type="dxa" w:w="328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Emerson DeltaV, Schneider Foxboro</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Upgrade</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4,2 M USD CAPEX</w:t>
            </w:r>
          </w:p>
        </w:tc>
      </w:tr>
      <w:tr>
        <w:tc>
          <w:tcPr>
            <w:tcW w:type="dxa" w:w="238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Cybersecurité OT (ISO 27001)</w:t>
            </w:r>
          </w:p>
        </w:tc>
        <w:tc>
          <w:tcPr>
            <w:tcW w:type="dxa" w:w="328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Claroty + Dragos + Fortinet</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Run</w:t>
            </w:r>
          </w:p>
        </w:tc>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0,7 M USD/an</w:t>
            </w:r>
          </w:p>
        </w:tc>
      </w:tr>
      <w:tr>
        <w:tc>
          <w:tcPr>
            <w:tcW w:type="dxa" w:w="238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Edge computing champ</w:t>
            </w:r>
          </w:p>
        </w:tc>
        <w:tc>
          <w:tcPr>
            <w:tcW w:type="dxa" w:w="328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AWS Snowball, Azure Stack Edge</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CAPEX + run</w:t>
            </w:r>
          </w:p>
        </w:tc>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2,1 M USD</w:t>
            </w:r>
          </w:p>
        </w:tc>
      </w:tr>
    </w:tbl>
    <w:p>
      <w:r>
        <w:br w:type="page"/>
      </w:r>
    </w:p>
    <w:p>
      <w:pPr>
        <w:keepNext/>
        <w:spacing w:before="360" w:after="160"/>
        <w:pBdr>
          <w:bottom w:val="single" w:sz="12" w:space="4" w:color="D9A84F"/>
        </w:pBdr>
      </w:pPr>
      <w:r>
        <w:rPr>
          <w:rFonts w:ascii="Calibri" w:hAnsi="Calibri"/>
          <w:b/>
          <w:color w:val="080E1A"/>
          <w:sz w:val="36"/>
        </w:rPr>
        <w:t>6. Benchmark — majors et opérateurs référents</w:t>
      </w:r>
    </w:p>
    <w:p>
      <w:pPr>
        <w:spacing w:before="0" w:after="80" w:line="324" w:lineRule="auto"/>
      </w:pPr>
      <w:r>
        <w:rPr>
          <w:rFonts w:ascii="Calibri" w:hAnsi="Calibri"/>
          <w:b w:val="0"/>
          <w:i w:val="0"/>
          <w:color w:val="1A1E2A"/>
          <w:sz w:val="21"/>
        </w:rPr>
        <w:t>Les majors ont développé des playbooks brownfield dont EnerTchad peut s’inspirer tout en adaptant à l’échelle et aux contraintes tchadiennes. Synthèse des pratiques observées :</w:t>
      </w:r>
    </w:p>
    <w:tbl>
      <w:tblPr>
        <w:tblW w:type="auto" w:w="0"/>
        <w:jc w:val="center"/>
        <w:tblLayout w:type="fixed"/>
        <w:tblLook w:firstColumn="1" w:firstRow="1" w:lastColumn="0" w:lastRow="0" w:noHBand="0" w:noVBand="1" w:val="04A0"/>
      </w:tblPr>
      <w:tblGrid>
        <w:gridCol w:w="2436"/>
        <w:gridCol w:w="2436"/>
        <w:gridCol w:w="2436"/>
        <w:gridCol w:w="2436"/>
      </w:tblGrid>
      <w:tr>
        <w:tc>
          <w:tcPr>
            <w:tcW w:type="dxa" w:w="181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Opérateur</w:t>
            </w:r>
          </w:p>
        </w:tc>
        <w:tc>
          <w:tcPr>
            <w:tcW w:type="dxa" w:w="198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Terrain de référence</w:t>
            </w:r>
          </w:p>
        </w:tc>
        <w:tc>
          <w:tcPr>
            <w:tcW w:type="dxa" w:w="311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Stack technique clé</w:t>
            </w:r>
          </w:p>
        </w:tc>
        <w:tc>
          <w:tcPr>
            <w:tcW w:type="dxa" w:w="2835"/>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Performance publiée</w:t>
            </w:r>
          </w:p>
        </w:tc>
      </w:tr>
      <w:tr>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ExxonMobil</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Champs matures Nigéria, Texas</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CO₂ EOR + digital twin + downhole monitoring</w:t>
            </w:r>
          </w:p>
        </w:tc>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+9-15 pts récup. moyen, CAPEX 4-7 USD/bbl</w:t>
            </w:r>
          </w:p>
        </w:tc>
      </w:tr>
      <w:tr>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Saudi Aramco</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Ghawar (60+ ans)</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Waterflood intelligent + cEOR + géomécanique</w:t>
            </w:r>
          </w:p>
        </w:tc>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 65 % récup. ultime, référence mondiale</w:t>
            </w:r>
          </w:p>
        </w:tc>
      </w:tr>
      <w:tr>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Shell</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Groningen, Ogan Komering</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Polymer flooding + compression gaz + PLT permanent</w:t>
            </w:r>
          </w:p>
        </w:tc>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+11 pts moyen, OPEX contrôlé</w:t>
            </w:r>
          </w:p>
        </w:tc>
      </w:tr>
      <w:tr>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Equinor</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Statfjord, Gullfaks</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WAG injection, subsea boosting, digital twin</w:t>
            </w:r>
          </w:p>
        </w:tc>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+14 pts (depuis 50 % initial)</w:t>
            </w:r>
          </w:p>
        </w:tc>
      </w:tr>
      <w:tr>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Petrobras</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Pre-sal + post-sal Campos</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Gas lift optimisé, SS-AICD, polymer flooding</w:t>
            </w:r>
          </w:p>
        </w:tc>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+8-12 pts incrémental</w:t>
            </w:r>
          </w:p>
        </w:tc>
      </w:tr>
      <w:tr>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TotalEnergies</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Hassi Messaoud, CLOV</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CO₂ EOR pilot, smart wells + fiber-optic</w:t>
            </w:r>
          </w:p>
        </w:tc>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+10 pts Hassi, horizons longs</w:t>
            </w:r>
          </w:p>
        </w:tc>
      </w:tr>
      <w:tr>
        <w:tc>
          <w:tcPr>
            <w:tcW w:type="dxa" w:w="181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CNPC (pair local)</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Bongor Tchad</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Polymer pilot + sand control + gravel pack</w:t>
            </w:r>
          </w:p>
        </w:tc>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Résultats non publics, sessions techniques possibles</w:t>
            </w:r>
          </w:p>
        </w:tc>
      </w:tr>
      <w:tr>
        <w:tc>
          <w:tcPr>
            <w:tcW w:type="dxa" w:w="181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Kuwait Oil Co.</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Burgan</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Steam flood + hybrid chemical + digital</w:t>
            </w:r>
          </w:p>
        </w:tc>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+18 pts projeté</w:t>
            </w:r>
          </w:p>
        </w:tc>
      </w:tr>
    </w:tbl>
    <w:p>
      <w:pPr>
        <w:keepNext/>
        <w:spacing w:before="280" w:after="80"/>
      </w:pPr>
      <w:r>
        <w:rPr>
          <w:rFonts w:ascii="Calibri" w:hAnsi="Calibri"/>
          <w:b/>
          <w:color w:val="080E1A"/>
          <w:sz w:val="27"/>
        </w:rPr>
        <w:t>6.1  Enseignements transposables</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Séquencer les leveraiges : d’abord waterflood optimisé, puis cEOR, puis CO₂ — tentation du « tout-cEOR » néfaste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Investir d’abord en monitoring (PLT, DTS, DAS, tracers) avant d’investir en EOR — le modèle dicte la stratégie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Piloter à petite échelle (3-6 puits) 12-24 mois avant tout rollout industriel — ROI de l’apprentissage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Sécuriser la supply chain chimique : 18 mois de stock tampon minimum, diversification fournisseurs</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Déployer intelligent completions sur les puits à fort potentiel, pas en masse indifférenciée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Former localement : 1 $ en formation = 4-7 $ évités en expat + retention du savoir</w:t>
      </w:r>
    </w:p>
    <w:p>
      <w:r>
        <w:br w:type="page"/>
      </w:r>
    </w:p>
    <w:p>
      <w:pPr>
        <w:keepNext/>
        <w:spacing w:before="360" w:after="160"/>
        <w:pBdr>
          <w:bottom w:val="single" w:sz="12" w:space="4" w:color="D9A84F"/>
        </w:pBdr>
      </w:pPr>
      <w:r>
        <w:rPr>
          <w:rFonts w:ascii="Calibri" w:hAnsi="Calibri"/>
          <w:b/>
          <w:color w:val="080E1A"/>
          <w:sz w:val="36"/>
        </w:rPr>
        <w:t>7. Applicabilité aux bassins EnerTchad</w:t>
      </w:r>
    </w:p>
    <w:p>
      <w:pPr>
        <w:keepNext/>
        <w:spacing w:before="280" w:after="80"/>
      </w:pPr>
      <w:r>
        <w:rPr>
          <w:rFonts w:ascii="Calibri" w:hAnsi="Calibri"/>
          <w:b/>
          <w:color w:val="080E1A"/>
          <w:sz w:val="27"/>
        </w:rPr>
        <w:t>7.1  Doba — priorité n°1</w:t>
      </w:r>
    </w:p>
    <w:p>
      <w:pPr>
        <w:spacing w:before="0" w:after="80" w:line="324" w:lineRule="auto"/>
      </w:pPr>
      <w:r>
        <w:rPr>
          <w:rFonts w:ascii="Calibri" w:hAnsi="Calibri"/>
          <w:b w:val="0"/>
          <w:i w:val="0"/>
          <w:color w:val="1A1E2A"/>
          <w:sz w:val="21"/>
        </w:rPr>
        <w:t>Doba est le cœur de la stratégie brownfield. Les zones Miandoum et Kome concentrent 68 % des réserves 2P du Groupe. Profil thermodynamique (T = 80-105 °C, P = 150-200 bar) favorable au waterflood, au polymer flooding, à l’ASP et aux stimulations H₂O₂. Priorité absolue : ESP + PLT sur 42 puits, ASP 6 puits Miandoum, H₂O₂ 3 puits, intelligent completions 12 puits. Potentiel à 7 ans : +12 pts récupération, ≈ 140 Mbbl incrémentaux.</w:t>
      </w:r>
    </w:p>
    <w:p>
      <w:pPr>
        <w:keepNext/>
        <w:spacing w:before="280" w:after="80"/>
      </w:pPr>
      <w:r>
        <w:rPr>
          <w:rFonts w:ascii="Calibri" w:hAnsi="Calibri"/>
          <w:b/>
          <w:color w:val="080E1A"/>
          <w:sz w:val="27"/>
        </w:rPr>
        <w:t>7.2  Bongor — brut lourd, défi thermique</w:t>
      </w:r>
    </w:p>
    <w:p>
      <w:pPr>
        <w:spacing w:before="0" w:after="80" w:line="324" w:lineRule="auto"/>
      </w:pPr>
      <w:r>
        <w:rPr>
          <w:rFonts w:ascii="Calibri" w:hAnsi="Calibri"/>
          <w:b w:val="0"/>
          <w:i w:val="0"/>
          <w:color w:val="1A1E2A"/>
          <w:sz w:val="21"/>
        </w:rPr>
        <w:t>Bongor requiert des solutions thermiques (CSS court terme, SAGD horizon 2029-2030) couplées à du polymer haute-température et du sand control renforcé. Le test hybride H₂O₂ + vapeur sera décisif pour valider la viabilité d’un full-SAGD. Potentiel à 7 ans : +8-10 pts récupération, ≈ 55 Mbbl incrémentaux. Prérequis : infrastructure vapeur (350 MW_th), lignes haute-pression, générateurs mobiles possibles en attendant une centrale dédiée.</w:t>
      </w:r>
    </w:p>
    <w:p>
      <w:pPr>
        <w:keepNext/>
        <w:spacing w:before="280" w:after="80"/>
      </w:pPr>
      <w:r>
        <w:rPr>
          <w:rFonts w:ascii="Calibri" w:hAnsi="Calibri"/>
          <w:b/>
          <w:color w:val="080E1A"/>
          <w:sz w:val="27"/>
        </w:rPr>
        <w:t>7.3  Doseo-Salamat — greenfield adjacent</w:t>
      </w:r>
    </w:p>
    <w:p>
      <w:pPr>
        <w:spacing w:before="0" w:after="80" w:line="324" w:lineRule="auto"/>
      </w:pPr>
      <w:r>
        <w:rPr>
          <w:rFonts w:ascii="Calibri" w:hAnsi="Calibri"/>
          <w:b w:val="0"/>
          <w:i w:val="0"/>
          <w:color w:val="1A1E2A"/>
          <w:sz w:val="21"/>
        </w:rPr>
        <w:t>Bassins encore peu explorés. La stratégie est d’appliquer dès le design les principes récupération-optimisée : waterflood dès phase 1, intelligent completions dès forage, digital twin avant first oil. Le CAPEX initial plus élevé (+12-18 %) est compensé par un taux de récupération cible 45-50 % dès le déploiement commercial. Contraintes d’accès logistique importantes (pas d’infrastructure pipeline existante).</w:t>
      </w:r>
    </w:p>
    <w:p>
      <w:pPr>
        <w:keepNext/>
        <w:spacing w:before="280" w:after="80"/>
      </w:pPr>
      <w:r>
        <w:rPr>
          <w:rFonts w:ascii="Calibri" w:hAnsi="Calibri"/>
          <w:b/>
          <w:color w:val="080E1A"/>
          <w:sz w:val="27"/>
        </w:rPr>
        <w:t>7.4  Termit — extension frontière orientale</w:t>
      </w:r>
    </w:p>
    <w:p>
      <w:pPr>
        <w:spacing w:before="0" w:after="80" w:line="324" w:lineRule="auto"/>
      </w:pPr>
      <w:r>
        <w:rPr>
          <w:rFonts w:ascii="Calibri" w:hAnsi="Calibri"/>
          <w:b w:val="0"/>
          <w:i w:val="0"/>
          <w:color w:val="1A1E2A"/>
          <w:sz w:val="21"/>
        </w:rPr>
        <w:t>Prolongement tchadien du bassin Agadem (Niger). Partenariats techniques envisageables avec SONATRACH et CNPC. Stratégie miroir du Doseo mais avec profil pétrophysique à préciser (programme sismique 3D 2026-2027). Pas de décision EOR avant 2029.</w:t>
      </w:r>
    </w:p>
    <w:p>
      <w:pPr>
        <w:keepNext/>
        <w:spacing w:before="280" w:after="80"/>
      </w:pPr>
      <w:r>
        <w:rPr>
          <w:rFonts w:ascii="Calibri" w:hAnsi="Calibri"/>
          <w:b/>
          <w:color w:val="080E1A"/>
          <w:sz w:val="27"/>
        </w:rPr>
        <w:t>7.5  Matrice décisionnelle consolidée</w:t>
      </w:r>
    </w:p>
    <w:tbl>
      <w:tblPr>
        <w:tblW w:type="auto" w:w="0"/>
        <w:jc w:val="center"/>
        <w:tblLayout w:type="fixed"/>
        <w:tblLook w:firstColumn="1" w:firstRow="1" w:lastColumn="0" w:lastRow="0" w:noHBand="0" w:noVBand="1" w:val="04A0"/>
      </w:tblPr>
      <w:tblGrid>
        <w:gridCol w:w="1624"/>
        <w:gridCol w:w="1624"/>
        <w:gridCol w:w="1624"/>
        <w:gridCol w:w="1624"/>
        <w:gridCol w:w="1624"/>
        <w:gridCol w:w="1624"/>
      </w:tblGrid>
      <w:tr>
        <w:tc>
          <w:tcPr>
            <w:tcW w:type="dxa" w:w="141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Bassin</w:t>
            </w:r>
          </w:p>
        </w:tc>
        <w:tc>
          <w:tcPr>
            <w:tcW w:type="dxa" w:w="1701"/>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Statut</w:t>
            </w:r>
          </w:p>
        </w:tc>
        <w:tc>
          <w:tcPr>
            <w:tcW w:type="dxa" w:w="113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Priorité</w:t>
            </w:r>
          </w:p>
        </w:tc>
        <w:tc>
          <w:tcPr>
            <w:tcW w:type="dxa" w:w="311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Stack retenu</w:t>
            </w:r>
          </w:p>
        </w:tc>
        <w:tc>
          <w:tcPr>
            <w:tcW w:type="dxa" w:w="130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Horizon</w:t>
            </w:r>
          </w:p>
        </w:tc>
        <w:tc>
          <w:tcPr>
            <w:tcW w:type="dxa" w:w="124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Potentiel</w:t>
            </w:r>
          </w:p>
        </w:tc>
      </w:tr>
      <w:tr>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Doba</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Brownfield mâture</w:t>
            </w:r>
          </w:p>
        </w:tc>
        <w:tc>
          <w:tcPr>
            <w:tcW w:type="dxa" w:w="113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Priorité 1</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Waterflood+, ASP, H₂O₂, ICV</w:t>
            </w:r>
          </w:p>
        </w:tc>
        <w:tc>
          <w:tcPr>
            <w:tcW w:type="dxa" w:w="130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2026-2030</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140 Mbbl</w:t>
            </w:r>
          </w:p>
        </w:tc>
      </w:tr>
      <w:tr>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Bongor</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Brut lourd mâture</w:t>
            </w:r>
          </w:p>
        </w:tc>
        <w:tc>
          <w:tcPr>
            <w:tcW w:type="dxa" w:w="113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Priorité 2</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CSS, SAGD, H₂O₂ hybrid, polymer HT</w:t>
            </w:r>
          </w:p>
        </w:tc>
        <w:tc>
          <w:tcPr>
            <w:tcW w:type="dxa" w:w="130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2027-2031</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55 Mbbl</w:t>
            </w:r>
          </w:p>
        </w:tc>
      </w:tr>
      <w:tr>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Doseo</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Greenfield</w:t>
            </w:r>
          </w:p>
        </w:tc>
        <w:tc>
          <w:tcPr>
            <w:tcW w:type="dxa" w:w="113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Priorité 3</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Design EOR-ready dès phase 1</w:t>
            </w:r>
          </w:p>
        </w:tc>
        <w:tc>
          <w:tcPr>
            <w:tcW w:type="dxa" w:w="130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2028-2033</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80 Mbbl</w:t>
            </w:r>
          </w:p>
        </w:tc>
      </w:tr>
      <w:tr>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Salamat</w:t>
            </w:r>
          </w:p>
        </w:tc>
        <w:tc>
          <w:tcPr>
            <w:tcW w:type="dxa" w:w="1701"/>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Greenfield</w:t>
            </w:r>
          </w:p>
        </w:tc>
        <w:tc>
          <w:tcPr>
            <w:tcW w:type="dxa" w:w="113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Priorité 3</w:t>
            </w:r>
          </w:p>
        </w:tc>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Design EOR-ready dès phase 1</w:t>
            </w:r>
          </w:p>
        </w:tc>
        <w:tc>
          <w:tcPr>
            <w:tcW w:type="dxa" w:w="130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2029-2034</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60 Mbbl</w:t>
            </w:r>
          </w:p>
        </w:tc>
      </w:tr>
      <w:tr>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Termit</w:t>
            </w:r>
          </w:p>
        </w:tc>
        <w:tc>
          <w:tcPr>
            <w:tcW w:type="dxa" w:w="1701"/>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Frontière</w:t>
            </w:r>
          </w:p>
        </w:tc>
        <w:tc>
          <w:tcPr>
            <w:tcW w:type="dxa" w:w="113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Veille</w:t>
            </w:r>
          </w:p>
        </w:tc>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Sismique 3D puis design</w:t>
            </w:r>
          </w:p>
        </w:tc>
        <w:tc>
          <w:tcPr>
            <w:tcW w:type="dxa" w:w="130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2030+</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40 Mbbl</w:t>
            </w:r>
          </w:p>
        </w:tc>
      </w:tr>
    </w:tbl>
    <w:p>
      <w:r>
        <w:br w:type="page"/>
      </w:r>
    </w:p>
    <w:p>
      <w:pPr>
        <w:keepNext/>
        <w:spacing w:before="360" w:after="160"/>
        <w:pBdr>
          <w:bottom w:val="single" w:sz="12" w:space="4" w:color="D9A84F"/>
        </w:pBdr>
      </w:pPr>
      <w:r>
        <w:rPr>
          <w:rFonts w:ascii="Calibri" w:hAnsi="Calibri"/>
          <w:b/>
          <w:color w:val="080E1A"/>
          <w:sz w:val="36"/>
        </w:rPr>
        <w:t>8. Roadmap 2026-2030 &amp; économie</w:t>
      </w:r>
    </w:p>
    <w:p>
      <w:pPr>
        <w:keepNext/>
        <w:spacing w:before="280" w:after="80"/>
      </w:pPr>
      <w:r>
        <w:rPr>
          <w:rFonts w:ascii="Calibri" w:hAnsi="Calibri"/>
          <w:b/>
          <w:color w:val="080E1A"/>
          <w:sz w:val="27"/>
        </w:rPr>
        <w:t>8.1  Jalons séquencés</w:t>
      </w:r>
    </w:p>
    <w:tbl>
      <w:tblPr>
        <w:tblW w:type="auto" w:w="0"/>
        <w:jc w:val="center"/>
        <w:tblLayout w:type="fixed"/>
        <w:tblLook w:firstColumn="1" w:firstRow="1" w:lastColumn="0" w:lastRow="0" w:noHBand="0" w:noVBand="1" w:val="04A0"/>
      </w:tblPr>
      <w:tblGrid>
        <w:gridCol w:w="2436"/>
        <w:gridCol w:w="2436"/>
        <w:gridCol w:w="2436"/>
        <w:gridCol w:w="2436"/>
      </w:tblGrid>
      <w:tr>
        <w:tc>
          <w:tcPr>
            <w:tcW w:type="dxa" w:w="124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Jalon</w:t>
            </w:r>
          </w:p>
        </w:tc>
        <w:tc>
          <w:tcPr>
            <w:tcW w:type="dxa" w:w="3855"/>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Action</w:t>
            </w:r>
          </w:p>
        </w:tc>
        <w:tc>
          <w:tcPr>
            <w:tcW w:type="dxa" w:w="226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Porteur</w:t>
            </w:r>
          </w:p>
        </w:tc>
        <w:tc>
          <w:tcPr>
            <w:tcW w:type="dxa" w:w="1984"/>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Budget</w:t>
            </w:r>
          </w:p>
        </w:tc>
      </w:tr>
      <w:tr>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Q2 2026</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Étude PVT + SCAL exhaustive Doba/Bongor</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Lab EnerTchad + IFPEN</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2,1 M USD</w:t>
            </w:r>
          </w:p>
        </w:tc>
      </w:tr>
      <w:tr>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Q3 2026</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Pilote H₂O₂ (3 puits Doba) + pilote ASP (6 puits Miandoum)</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Ops + IFP</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6,4 M USD</w:t>
            </w:r>
          </w:p>
        </w:tc>
      </w:tr>
      <w:tr>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Q4 2026</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Pilote CSS Bongor (3 puits Ronier)</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Ops + partenariat CNPC</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22 M USD</w:t>
            </w:r>
          </w:p>
        </w:tc>
      </w:tr>
      <w:tr>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H1 2027</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Déploiement 12 intelligent completions Doba</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SLB/Halliburton</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14 M USD</w:t>
            </w:r>
          </w:p>
        </w:tc>
      </w:tr>
      <w:tr>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H2 2027</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Évaluation pilotes + décision rollout</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CODIR</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w:t>
            </w:r>
          </w:p>
        </w:tc>
      </w:tr>
      <w:tr>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2028</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Rollout ASP Doba (50 puits) + H₂O₂ continu</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Ops</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85 M USD</w:t>
            </w:r>
          </w:p>
        </w:tc>
      </w:tr>
      <w:tr>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2028</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FEED + FID SAGD Bongor commercial</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PMO + FEED</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18 M USD</w:t>
            </w:r>
          </w:p>
        </w:tc>
      </w:tr>
      <w:tr>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2029</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First SAGD oil Bongor + CCUS pilote Doba</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Ops</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240 M USD</w:t>
            </w:r>
          </w:p>
        </w:tc>
      </w:tr>
      <w:tr>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2030</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Full CO₂ EOR Doba Bolobo + optimisation Doseo</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Ops + Partenariat</w:t>
            </w:r>
          </w:p>
        </w:tc>
        <w:tc>
          <w:tcPr>
            <w:tcW w:type="dxa" w:w="1984"/>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310 M USD</w:t>
            </w:r>
          </w:p>
        </w:tc>
      </w:tr>
      <w:tr>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2031-2032</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Consolidation, scale-out, first payback VAN</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Ops</w:t>
            </w:r>
          </w:p>
        </w:tc>
        <w:tc>
          <w:tcPr>
            <w:tcW w:type="dxa" w:w="1984"/>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w:t>
            </w:r>
          </w:p>
        </w:tc>
      </w:tr>
    </w:tbl>
    <w:p>
      <w:pPr>
        <w:keepNext/>
        <w:spacing w:before="280" w:after="80"/>
      </w:pPr>
      <w:r>
        <w:rPr>
          <w:rFonts w:ascii="Calibri" w:hAnsi="Calibri"/>
          <w:b/>
          <w:color w:val="080E1A"/>
          <w:sz w:val="27"/>
        </w:rPr>
        <w:t>8.2  Économie synthétique (scénario base, 70 $/bbl)</w:t>
      </w:r>
    </w:p>
    <w:tbl>
      <w:tblPr>
        <w:tblW w:type="auto" w:w="0"/>
        <w:jc w:val="center"/>
        <w:tblLayout w:type="fixed"/>
        <w:tblLook w:firstColumn="1" w:firstRow="1" w:lastColumn="0" w:lastRow="0" w:noHBand="0" w:noVBand="1" w:val="04A0"/>
      </w:tblPr>
      <w:tblGrid>
        <w:gridCol w:w="3249"/>
        <w:gridCol w:w="3249"/>
        <w:gridCol w:w="3249"/>
      </w:tblGrid>
      <w:tr>
        <w:tc>
          <w:tcPr>
            <w:tcW w:type="dxa" w:w="311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Indicateur</w:t>
            </w:r>
          </w:p>
        </w:tc>
        <w:tc>
          <w:tcPr>
            <w:tcW w:type="dxa" w:w="2268"/>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Valeur</w:t>
            </w:r>
          </w:p>
        </w:tc>
        <w:tc>
          <w:tcPr>
            <w:tcW w:type="dxa" w:w="3969"/>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Commentaire</w:t>
            </w:r>
          </w:p>
        </w:tc>
      </w:tr>
      <w:tr>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CAPEX cumulé 2026-2030</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 900 M USD</w:t>
            </w:r>
          </w:p>
        </w:tc>
        <w:tc>
          <w:tcPr>
            <w:tcW w:type="dxa" w:w="3969"/>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Dont 62 % sur Doba</w:t>
            </w:r>
          </w:p>
        </w:tc>
      </w:tr>
      <w:tr>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OPEX additionnel moyen</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 6,2 USD/bbl incrémental</w:t>
            </w:r>
          </w:p>
        </w:tc>
        <w:tc>
          <w:tcPr>
            <w:tcW w:type="dxa" w:w="3969"/>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90 % chimiques + énergie</w:t>
            </w:r>
          </w:p>
        </w:tc>
      </w:tr>
      <w:tr>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Production incrémentale cumulée 2026-2034</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 195 Mbbl</w:t>
            </w:r>
          </w:p>
        </w:tc>
        <w:tc>
          <w:tcPr>
            <w:tcW w:type="dxa" w:w="3969"/>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Plateau +28-32 k b/j dès 2029</w:t>
            </w:r>
          </w:p>
        </w:tc>
      </w:tr>
      <w:tr>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Revenus bruts cumulés</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 13,7 Md USD</w:t>
            </w:r>
          </w:p>
        </w:tc>
        <w:tc>
          <w:tcPr>
            <w:tcW w:type="dxa" w:w="3969"/>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À 70 $/bbl nominal</w:t>
            </w:r>
          </w:p>
        </w:tc>
      </w:tr>
      <w:tr>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VAN10 projet consolidé</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 5,2 Md USD</w:t>
            </w:r>
          </w:p>
        </w:tc>
        <w:tc>
          <w:tcPr>
            <w:tcW w:type="dxa" w:w="3969"/>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Hypothèses : WACC 10 %, prix 70 $/bbl stable</w:t>
            </w:r>
          </w:p>
        </w:tc>
      </w:tr>
      <w:tr>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IRR</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 23 %</w:t>
            </w:r>
          </w:p>
        </w:tc>
        <w:tc>
          <w:tcPr>
            <w:tcW w:type="dxa" w:w="3969"/>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Sensibilité forte au prix (21 % à 60 $, 28 % à 80 $)</w:t>
            </w:r>
          </w:p>
        </w:tc>
      </w:tr>
      <w:tr>
        <w:tc>
          <w:tcPr>
            <w:tcW w:type="dxa" w:w="311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Payback</w:t>
            </w:r>
          </w:p>
        </w:tc>
        <w:tc>
          <w:tcPr>
            <w:tcW w:type="dxa" w:w="2268"/>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6,4 ans</w:t>
            </w:r>
          </w:p>
        </w:tc>
        <w:tc>
          <w:tcPr>
            <w:tcW w:type="dxa" w:w="3969"/>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À partir de first incremental oil (2027)</w:t>
            </w:r>
          </w:p>
        </w:tc>
      </w:tr>
      <w:tr>
        <w:tc>
          <w:tcPr>
            <w:tcW w:type="dxa" w:w="311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Break-even prix</w:t>
            </w:r>
          </w:p>
        </w:tc>
        <w:tc>
          <w:tcPr>
            <w:tcW w:type="dxa" w:w="2268"/>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 38 USD/bbl</w:t>
            </w:r>
          </w:p>
        </w:tc>
        <w:tc>
          <w:tcPr>
            <w:tcW w:type="dxa" w:w="3969"/>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Inclut OPEX existant + incremental</w:t>
            </w:r>
          </w:p>
        </w:tc>
      </w:tr>
    </w:tbl>
    <w:p>
      <w:r>
        <w:br w:type="page"/>
      </w:r>
    </w:p>
    <w:p>
      <w:pPr>
        <w:keepNext/>
        <w:spacing w:before="360" w:after="160"/>
        <w:pBdr>
          <w:bottom w:val="single" w:sz="12" w:space="4" w:color="D9A84F"/>
        </w:pBdr>
      </w:pPr>
      <w:r>
        <w:rPr>
          <w:rFonts w:ascii="Calibri" w:hAnsi="Calibri"/>
          <w:b/>
          <w:color w:val="080E1A"/>
          <w:sz w:val="36"/>
        </w:rPr>
        <w:t>9. Risques HSE, réglementaires et gouvernance</w:t>
      </w:r>
    </w:p>
    <w:tbl>
      <w:tblPr>
        <w:tblW w:type="auto" w:w="0"/>
        <w:jc w:val="center"/>
        <w:tblLayout w:type="fixed"/>
        <w:tblLook w:firstColumn="1" w:firstRow="1" w:lastColumn="0" w:lastRow="0" w:noHBand="0" w:noVBand="1" w:val="04A0"/>
      </w:tblPr>
      <w:tblGrid>
        <w:gridCol w:w="2436"/>
        <w:gridCol w:w="2436"/>
        <w:gridCol w:w="2436"/>
        <w:gridCol w:w="2436"/>
      </w:tblGrid>
      <w:tr>
        <w:tc>
          <w:tcPr>
            <w:tcW w:type="dxa" w:w="2835"/>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Risque</w:t>
            </w:r>
          </w:p>
        </w:tc>
        <w:tc>
          <w:tcPr>
            <w:tcW w:type="dxa" w:w="141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Probabilité</w:t>
            </w:r>
          </w:p>
        </w:tc>
        <w:tc>
          <w:tcPr>
            <w:tcW w:type="dxa" w:w="1247"/>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Impact</w:t>
            </w:r>
          </w:p>
        </w:tc>
        <w:tc>
          <w:tcPr>
            <w:tcW w:type="dxa" w:w="3855"/>
            <w:shd w:val="clear" w:color="auto" w:fill="0A1929"/>
            <w:tcBorders>
              <w:top w:val="single" w:sz="4" w:color="0A1929"/>
              <w:left w:val="single" w:sz="4" w:color="0A1929"/>
              <w:bottom w:val="single" w:sz="4" w:color="0A1929"/>
              <w:right w:val="single" w:sz="4" w:color="0A1929"/>
            </w:tcBorders>
            <w:vAlign w:val="center"/>
          </w:tcPr>
          <w:p>
            <w:pPr>
              <w:jc w:val="left"/>
            </w:pPr>
            <w:r/>
            <w:r>
              <w:rPr>
                <w:rFonts w:ascii="Calibri" w:hAnsi="Calibri"/>
                <w:b/>
                <w:color w:val="F5F7FA"/>
                <w:sz w:val="20"/>
              </w:rPr>
              <w:t>Mitigation</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HSE — manipulation H₂O₂ concentré</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Majeur</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Formation + grades &lt; 35 %, double paroi stockage, plan d’urgence</w:t>
            </w:r>
          </w:p>
        </w:tc>
      </w:tr>
      <w:tr>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Environnement — chimiques EOR</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Faible-moy.</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Majeur</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Tous produits bio-dégradables, bilan carbone, MEOR privilégié</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Social — water cut communautés</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Majeur</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Programme Water-to-Value étendu, consultation villages</w:t>
            </w:r>
          </w:p>
        </w:tc>
      </w:tr>
      <w:tr>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Technique — échec ASP à haute salinité</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Pilote 12 mois, screening PVT strict</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Technique — SAGD non viable Bongor</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Majeur</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Go/No-Go après pilote CSS, alternative polymer HT</w:t>
            </w:r>
          </w:p>
        </w:tc>
      </w:tr>
      <w:tr>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Supply chain chimiques</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Faible-moy.</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Triple fournisseurs, stock 18 mois, sourcing local progressif</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Réglementaire — ONAPE, Ministère Pétrole</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Faible</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Majeur</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Engagement précoce, revue annuelle EIE, conformité ITIE</w:t>
            </w:r>
          </w:p>
        </w:tc>
      </w:tr>
      <w:tr>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Cyber — attaque SCADA</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Majeur</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ISO 27001, segmentation IT/OT, SOC 24/7, Dragos + Claroty</w:t>
            </w:r>
          </w:p>
        </w:tc>
      </w:tr>
      <w:tr>
        <w:tc>
          <w:tcPr>
            <w:tcW w:type="dxa" w:w="283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Financier — CAPEX dérapage</w:t>
            </w:r>
          </w:p>
        </w:tc>
        <w:tc>
          <w:tcPr>
            <w:tcW w:type="dxa" w:w="141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1247"/>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3855"/>
            <w:shd w:val="clear" w:color="auto" w:fill="FFFFFF"/>
            <w:tcBorders>
              <w:top w:val="single" w:sz="4" w:color="D0D5DC"/>
              <w:left w:val="single" w:sz="4" w:color="D0D5DC"/>
              <w:bottom w:val="single" w:sz="4" w:color="D0D5DC"/>
              <w:right w:val="single" w:sz="4" w:color="D0D5DC"/>
            </w:tcBorders>
            <w:vAlign w:val="top"/>
          </w:tcPr>
          <w:p>
            <w:r/>
            <w:r>
              <w:rPr>
                <w:rFonts w:ascii="Calibri" w:hAnsi="Calibri"/>
                <w:color w:val="1A1E2A"/>
                <w:sz w:val="19"/>
              </w:rPr>
              <w:t>FEED rigoureux, KPI PMO trimestriels, buffer 15 %</w:t>
            </w:r>
          </w:p>
        </w:tc>
      </w:tr>
      <w:tr>
        <w:tc>
          <w:tcPr>
            <w:tcW w:type="dxa" w:w="283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Prix pétrole &lt; 55 $/bbl prolongé</w:t>
            </w:r>
          </w:p>
        </w:tc>
        <w:tc>
          <w:tcPr>
            <w:tcW w:type="dxa" w:w="141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1247"/>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Moyen</w:t>
            </w:r>
          </w:p>
        </w:tc>
        <w:tc>
          <w:tcPr>
            <w:tcW w:type="dxa" w:w="3855"/>
            <w:shd w:val="clear" w:color="auto" w:fill="F5F7FA"/>
            <w:tcBorders>
              <w:top w:val="single" w:sz="4" w:color="D0D5DC"/>
              <w:left w:val="single" w:sz="4" w:color="D0D5DC"/>
              <w:bottom w:val="single" w:sz="4" w:color="D0D5DC"/>
              <w:right w:val="single" w:sz="4" w:color="D0D5DC"/>
            </w:tcBorders>
            <w:vAlign w:val="top"/>
          </w:tcPr>
          <w:p>
            <w:r/>
            <w:r>
              <w:rPr>
                <w:rFonts w:ascii="Calibri" w:hAnsi="Calibri"/>
                <w:color w:val="1A1E2A"/>
                <w:sz w:val="19"/>
              </w:rPr>
              <w:t>Phasage, options flexibles, hedging 40 % production</w:t>
            </w:r>
          </w:p>
        </w:tc>
      </w:tr>
    </w:tbl>
    <w:p>
      <w:pPr>
        <w:keepNext/>
        <w:spacing w:before="280" w:after="80"/>
      </w:pPr>
      <w:r>
        <w:rPr>
          <w:rFonts w:ascii="Calibri" w:hAnsi="Calibri"/>
          <w:b/>
          <w:color w:val="080E1A"/>
          <w:sz w:val="27"/>
        </w:rPr>
        <w:t>9.1  Gouvernance projet proposée</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Steering Committee mensuel présidé par le CEO — CFO, COO Amont, VP HSE, VP Digital</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Technical Review Board trimestriel — experts internes + IFPEN + universitaires tchadiens</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Revue HSE indépendante semestrielle — bureau de classification (ISO 14001 + OHSAS 45001)</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Reporting ITIE annuel — intégration dans rapport Durabilité</w:t>
      </w:r>
    </w:p>
    <w:p>
      <w:pPr>
        <w:spacing w:before="0" w:after="60" w:line="312" w:lineRule="auto"/>
        <w:ind w:left="440" w:hanging="160"/>
      </w:pPr>
      <w:r>
        <w:rPr>
          <w:rFonts w:ascii="Calibri" w:hAnsi="Calibri"/>
          <w:b/>
          <w:color w:val="D9A84F"/>
          <w:sz w:val="21"/>
        </w:rPr>
        <w:t xml:space="preserve">•  </w:t>
      </w:r>
      <w:r>
        <w:rPr>
          <w:rFonts w:ascii="Calibri" w:hAnsi="Calibri"/>
          <w:b w:val="0"/>
          <w:color w:val="1A1E2A"/>
          <w:sz w:val="21"/>
        </w:rPr>
        <w:t>Communauté locale : comité consultatif par champ, 2 réunions/an minimum</w:t>
      </w:r>
    </w:p>
    <w:p>
      <w:r>
        <w:br w:type="page"/>
      </w:r>
    </w:p>
    <w:p>
      <w:pPr>
        <w:keepNext/>
        <w:spacing w:before="360" w:after="160"/>
        <w:pBdr>
          <w:bottom w:val="single" w:sz="12" w:space="4" w:color="D9A84F"/>
        </w:pBdr>
      </w:pPr>
      <w:r>
        <w:rPr>
          <w:rFonts w:ascii="Calibri" w:hAnsi="Calibri"/>
          <w:b/>
          <w:color w:val="080E1A"/>
          <w:sz w:val="36"/>
        </w:rPr>
        <w:t>10. Conclusions &amp; décisions requises CODIR</w:t>
      </w:r>
    </w:p>
    <w:p>
      <w:pPr>
        <w:spacing w:before="0" w:after="80" w:line="324" w:lineRule="auto"/>
      </w:pPr>
      <w:r>
        <w:rPr>
          <w:rFonts w:ascii="Calibri" w:hAnsi="Calibri"/>
          <w:b w:val="0"/>
          <w:i w:val="0"/>
          <w:color w:val="1A1E2A"/>
          <w:sz w:val="21"/>
        </w:rPr>
        <w:t>Le portefeuille EnerTchad recèle un potentiel de création de valeur de 4,5 à 6,0 Md USD (VAN10) par l’application séquencée et disciplinée des leviers d’optimisation des champs mâtures. Le H₂O₂ s’inscrit comme un complément tactique bien positionné sur le ratio coût/impact/HSE, en particulier pour traiter les dépôts organiques, le H₂S et, à l’horizon 2029, l’initiation thermique hybride sur Bongor.</w:t>
      </w:r>
    </w:p>
    <w:p>
      <w:pPr>
        <w:spacing w:before="0" w:after="80" w:line="324" w:lineRule="auto"/>
      </w:pPr>
      <w:r>
        <w:rPr>
          <w:rFonts w:ascii="Calibri" w:hAnsi="Calibri"/>
          <w:b w:val="0"/>
          <w:i w:val="0"/>
          <w:color w:val="1A1E2A"/>
          <w:sz w:val="21"/>
        </w:rPr>
        <w:t>Trois décisions structurantes sont soumises au CODIR dans les 60 jours :</w:t>
      </w:r>
    </w:p>
    <w:tbl>
      <w:tblPr>
        <w:tblW w:type="auto" w:w="0"/>
        <w:tblLayout w:type="fixed"/>
        <w:tblLook w:firstColumn="1" w:firstRow="1" w:lastColumn="0" w:lastRow="0" w:noHBand="0" w:noVBand="1" w:val="04A0"/>
      </w:tblPr>
      <w:tblGrid>
        <w:gridCol w:w="9746"/>
      </w:tblGrid>
      <w:tr>
        <w:tc>
          <w:tcPr>
            <w:tcW w:type="dxa" w:w="9354"/>
            <w:shd w:val="clear" w:color="auto" w:fill="FFF7E6"/>
            <w:tcBorders>
              <w:top w:val="single" w:sz="4" w:color="E9DCB6"/>
              <w:bottom w:val="single" w:sz="4" w:color="E9DCB6"/>
              <w:right w:val="single" w:sz="4" w:color="E9DCB6"/>
              <w:left w:val="single" w:sz="24" w:color="D9A84F"/>
            </w:tcBorders>
          </w:tcPr>
          <w:p>
            <w:pPr>
              <w:spacing w:before="80" w:after="40"/>
            </w:pPr>
            <w:r/>
            <w:r>
              <w:rPr>
                <w:rFonts w:ascii="Calibri" w:hAnsi="Calibri"/>
                <w:b/>
                <w:color w:val="D9A84F"/>
                <w:sz w:val="21"/>
              </w:rPr>
              <w:t>Décision 1 — Budget pilote 2026 (48 M USD)</w:t>
            </w:r>
          </w:p>
          <w:p>
            <w:pPr>
              <w:spacing w:after="60" w:line="312" w:lineRule="auto"/>
            </w:pPr>
            <w:r>
              <w:rPr>
                <w:rFonts w:ascii="Calibri" w:hAnsi="Calibri"/>
                <w:color w:val="1A1E2A"/>
                <w:sz w:val="20"/>
              </w:rPr>
              <w:t>Validation du programme pilote intégré : PVT/SCAL exhaustif + pilote H₂O₂ 3 puits Doba + pilote ASP 6 puits Miandoum + pilote CSS 3 puits Bongor + 12 intelligent completions. Porteurs : VP Reservoir Engineering + VP Opérations Amont. Livrable : rapport intégré T2 2027.</w:t>
            </w:r>
          </w:p>
        </w:tc>
      </w:tr>
    </w:tbl>
    <w:tbl>
      <w:tblPr>
        <w:tblW w:type="auto" w:w="0"/>
        <w:tblLayout w:type="fixed"/>
        <w:tblLook w:firstColumn="1" w:firstRow="1" w:lastColumn="0" w:lastRow="0" w:noHBand="0" w:noVBand="1" w:val="04A0"/>
      </w:tblPr>
      <w:tblGrid>
        <w:gridCol w:w="9746"/>
      </w:tblGrid>
      <w:tr>
        <w:tc>
          <w:tcPr>
            <w:tcW w:type="dxa" w:w="9354"/>
            <w:shd w:val="clear" w:color="auto" w:fill="EAF3FC"/>
            <w:tcBorders>
              <w:top w:val="single" w:sz="4" w:color="E9DCB6"/>
              <w:bottom w:val="single" w:sz="4" w:color="E9DCB6"/>
              <w:right w:val="single" w:sz="4" w:color="E9DCB6"/>
              <w:left w:val="single" w:sz="24" w:color="D9A84F"/>
            </w:tcBorders>
          </w:tcPr>
          <w:p>
            <w:pPr>
              <w:spacing w:before="80" w:after="40"/>
            </w:pPr>
            <w:r/>
            <w:r>
              <w:rPr>
                <w:rFonts w:ascii="Calibri" w:hAnsi="Calibri"/>
                <w:b/>
                <w:color w:val="2E86DE"/>
                <w:sz w:val="21"/>
              </w:rPr>
              <w:t>Décision 2 — Partenariats R&amp;D (signature Q3 2026)</w:t>
            </w:r>
          </w:p>
          <w:p>
            <w:pPr>
              <w:spacing w:after="60" w:line="312" w:lineRule="auto"/>
            </w:pPr>
            <w:r>
              <w:rPr>
                <w:rFonts w:ascii="Calibri" w:hAnsi="Calibri"/>
                <w:color w:val="1A1E2A"/>
                <w:sz w:val="20"/>
              </w:rPr>
              <w:t>Cadrage et signature de 3 MOU : IFP Énergies Nouvelles (protocoles EOR + caractérisation), Solvay Peroxides ou Kemira (H₂O₂ supply + catalyseurs), Université de N’Djamena + CIRAD (sourcing local bio-chimiques + MEOR). Porteur : VP Partenariats + Directeur R&amp;D.</w:t>
            </w:r>
          </w:p>
        </w:tc>
      </w:tr>
    </w:tbl>
    <w:tbl>
      <w:tblPr>
        <w:tblW w:type="auto" w:w="0"/>
        <w:tblLayout w:type="fixed"/>
        <w:tblLook w:firstColumn="1" w:firstRow="1" w:lastColumn="0" w:lastRow="0" w:noHBand="0" w:noVBand="1" w:val="04A0"/>
      </w:tblPr>
      <w:tblGrid>
        <w:gridCol w:w="9746"/>
      </w:tblGrid>
      <w:tr>
        <w:tc>
          <w:tcPr>
            <w:tcW w:type="dxa" w:w="9354"/>
            <w:shd w:val="clear" w:color="auto" w:fill="E6F7F0"/>
            <w:tcBorders>
              <w:top w:val="single" w:sz="4" w:color="E9DCB6"/>
              <w:bottom w:val="single" w:sz="4" w:color="E9DCB6"/>
              <w:right w:val="single" w:sz="4" w:color="E9DCB6"/>
              <w:left w:val="single" w:sz="24" w:color="D9A84F"/>
            </w:tcBorders>
          </w:tcPr>
          <w:p>
            <w:pPr>
              <w:spacing w:before="80" w:after="40"/>
            </w:pPr>
            <w:r/>
            <w:r>
              <w:rPr>
                <w:rFonts w:ascii="Calibri" w:hAnsi="Calibri"/>
                <w:b/>
                <w:color w:val="10B981"/>
                <w:sz w:val="21"/>
              </w:rPr>
              <w:t>Décision 3 — Renforcement équipe (recrutement H1 2026)</w:t>
            </w:r>
          </w:p>
          <w:p>
            <w:pPr>
              <w:spacing w:after="60" w:line="312" w:lineRule="auto"/>
            </w:pPr>
            <w:r>
              <w:rPr>
                <w:rFonts w:ascii="Calibri" w:hAnsi="Calibri"/>
                <w:color w:val="1A1E2A"/>
                <w:sz w:val="20"/>
              </w:rPr>
              <w:t>Création de 3 postes : Chief Reservoir Engineer (12+ ans, expertise brownfield), Head of Digital Twin (expérience majors), Senior HSE Specialist Chemicals (expertise oxydants). Budget talent : 1,8 M USD/an chargé. Porteur : DRH + CTO.</w:t>
            </w:r>
          </w:p>
        </w:tc>
      </w:tr>
    </w:tbl>
    <w:p>
      <w:pPr>
        <w:spacing w:before="0" w:after="80" w:line="324" w:lineRule="auto"/>
      </w:pPr>
      <w:r>
        <w:rPr>
          <w:rFonts w:ascii="Calibri" w:hAnsi="Calibri"/>
          <w:b w:val="0"/>
          <w:i/>
          <w:color w:val="5A6477"/>
          <w:sz w:val="21"/>
        </w:rPr>
        <w:t>Une gouvernance rigoureuse et une culture disciplinée du pilotage — apprendre avant de déployer — sont les garants du succès. Les majors qui ont réussi leurs champs matures (Saudi Aramco sur Ghawar, Equinor sur Statfjord) l’ont fait en n’étant ni les premiers ni les plus audacieux, mais les plus méthodiques. C’est la voie recommandée pour EnerTchad.</w:t>
      </w:r>
    </w:p>
    <w:p>
      <w:pPr>
        <w:pBdr>
          <w:bottom w:val="single" w:sz="8" w:space="1" w:color="D9A84F"/>
        </w:pBdr>
      </w:pPr>
    </w:p>
    <w:p>
      <w:pPr>
        <w:spacing w:before="360"/>
        <w:jc w:val="right"/>
      </w:pPr>
      <w:r>
        <w:rPr>
          <w:rFonts w:ascii="Calibri" w:hAnsi="Calibri"/>
          <w:b/>
          <w:color w:val="080E1A"/>
          <w:sz w:val="22"/>
        </w:rPr>
        <w:t>Bignero — Directeur Général</w:t>
      </w:r>
    </w:p>
    <w:p>
      <w:pPr>
        <w:jc w:val="right"/>
      </w:pPr>
      <w:r>
        <w:rPr>
          <w:rFonts w:ascii="Calibri" w:hAnsi="Calibri"/>
          <w:i/>
          <w:color w:val="5A6477"/>
          <w:sz w:val="20"/>
        </w:rPr>
        <w:t>EnerTchad Groupe  —  20 avril 2026</w:t>
      </w:r>
    </w:p>
    <w:sectPr w:rsidR="00FC693F" w:rsidRPr="0006063C" w:rsidSect="00034616">
      <w:headerReference w:type="default" r:id="rId9"/>
      <w:footerReference w:type="default" r:id="rId10"/>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i/>
        <w:color w:val="5A6477"/>
        <w:sz w:val="16"/>
      </w:rPr>
      <w:t>© 2026 EnerTchad Groupe — Diffusion restreinte • Direction Amont &amp; Technologies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i/>
        <w:color w:val="5A6477"/>
        <w:sz w:val="17"/>
      </w:rPr>
      <w:t>EnerTchad Groupe  •  Note Technique Confidentielle  •  Avril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E2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